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0023C" w14:textId="77777777" w:rsidR="00F948F3" w:rsidRPr="00F948F3" w:rsidRDefault="00F948F3" w:rsidP="00F948F3">
      <w:pPr>
        <w:shd w:val="clear" w:color="auto" w:fill="FFFFFF"/>
        <w:spacing w:before="225" w:after="225"/>
        <w:outlineLvl w:val="0"/>
        <w:rPr>
          <w:rFonts w:ascii="Helvetica Neue" w:eastAsia="Times New Roman" w:hAnsi="Helvetica Neue" w:cs="Times New Roman"/>
          <w:color w:val="666666"/>
          <w:kern w:val="36"/>
          <w:sz w:val="60"/>
          <w:szCs w:val="60"/>
        </w:rPr>
      </w:pPr>
      <w:r w:rsidRPr="00F948F3">
        <w:rPr>
          <w:rFonts w:ascii="Helvetica Neue" w:eastAsia="Times New Roman" w:hAnsi="Helvetica Neue" w:cs="Times New Roman"/>
          <w:color w:val="666666"/>
          <w:kern w:val="36"/>
          <w:sz w:val="60"/>
          <w:szCs w:val="60"/>
        </w:rPr>
        <w:t>Futures Cone</w:t>
      </w:r>
    </w:p>
    <w:p w14:paraId="5382A9B0" w14:textId="77777777" w:rsidR="00F948F3" w:rsidRPr="00F948F3" w:rsidRDefault="00F948F3" w:rsidP="00F948F3">
      <w:pPr>
        <w:shd w:val="clear" w:color="auto" w:fill="FFFFFF"/>
        <w:rPr>
          <w:rFonts w:ascii="Helvetica Neue" w:eastAsia="Times New Roman" w:hAnsi="Helvetica Neue" w:cs="Times New Roman"/>
          <w:color w:val="000000"/>
        </w:rPr>
      </w:pPr>
      <w:hyperlink r:id="rId5" w:tgtFrame="_blank" w:history="1">
        <w:r w:rsidRPr="00F948F3">
          <w:rPr>
            <w:rFonts w:ascii="Helvetica Neue" w:eastAsia="Times New Roman" w:hAnsi="Helvetica Neue" w:cs="Times New Roman"/>
            <w:color w:val="0000FF"/>
            <w:u w:val="single"/>
          </w:rPr>
          <w:t>https://thevoroscope.com/2017/02/24/the-futures-cone-use-and-history/</w:t>
        </w:r>
        <w:r w:rsidRPr="00F948F3">
          <w:rPr>
            <w:rFonts w:ascii="Helvetica Neue" w:eastAsia="Times New Roman" w:hAnsi="Helvetica Neue" w:cs="Times New Roman"/>
            <w:color w:val="0000FF"/>
            <w:u w:val="single"/>
            <w:bdr w:val="none" w:sz="0" w:space="0" w:color="auto" w:frame="1"/>
          </w:rPr>
          <w:t> (Links to an external site.)</w:t>
        </w:r>
      </w:hyperlink>
    </w:p>
    <w:p w14:paraId="56B4A25F" w14:textId="77777777" w:rsidR="00F948F3" w:rsidRPr="00F948F3" w:rsidRDefault="00F948F3" w:rsidP="00F948F3">
      <w:pPr>
        <w:shd w:val="clear" w:color="auto" w:fill="FFFFFF"/>
        <w:spacing w:before="90" w:after="90"/>
        <w:outlineLvl w:val="0"/>
        <w:rPr>
          <w:rFonts w:ascii="Helvetica Neue" w:eastAsia="Times New Roman" w:hAnsi="Helvetica Neue" w:cs="Times New Roman"/>
          <w:color w:val="000000"/>
          <w:kern w:val="36"/>
          <w:sz w:val="43"/>
          <w:szCs w:val="43"/>
        </w:rPr>
      </w:pPr>
      <w:r w:rsidRPr="00F948F3">
        <w:rPr>
          <w:rFonts w:ascii="Helvetica Neue" w:eastAsia="Times New Roman" w:hAnsi="Helvetica Neue" w:cs="Times New Roman"/>
          <w:color w:val="000000"/>
          <w:kern w:val="36"/>
          <w:sz w:val="43"/>
          <w:szCs w:val="43"/>
        </w:rPr>
        <w:t>The Futures Cone, use and history</w:t>
      </w:r>
    </w:p>
    <w:p w14:paraId="6AC603C1" w14:textId="77777777" w:rsidR="00F948F3" w:rsidRPr="00F948F3" w:rsidRDefault="00F948F3" w:rsidP="00F948F3">
      <w:pPr>
        <w:shd w:val="clear" w:color="auto" w:fill="FFFFFF"/>
        <w:rPr>
          <w:rFonts w:ascii="Helvetica Neue" w:eastAsia="Times New Roman" w:hAnsi="Helvetica Neue" w:cs="Times New Roman"/>
          <w:color w:val="000000"/>
        </w:rPr>
      </w:pPr>
      <w:r w:rsidRPr="00F948F3">
        <w:rPr>
          <w:rFonts w:ascii="Helvetica Neue" w:eastAsia="Times New Roman" w:hAnsi="Helvetica Neue" w:cs="Times New Roman"/>
          <w:i/>
          <w:iCs/>
          <w:color w:val="000000"/>
        </w:rPr>
        <w:t>From time to time people ask me about the </w:t>
      </w:r>
      <w:hyperlink r:id="rId6" w:tgtFrame="_blank" w:history="1">
        <w:r w:rsidRPr="00F948F3">
          <w:rPr>
            <w:rFonts w:ascii="Helvetica Neue" w:eastAsia="Times New Roman" w:hAnsi="Helvetica Neue" w:cs="Times New Roman"/>
            <w:i/>
            <w:iCs/>
            <w:color w:val="0000FF"/>
            <w:u w:val="single"/>
          </w:rPr>
          <w:t>Futures Cone</w:t>
        </w:r>
        <w:r w:rsidRPr="00F948F3">
          <w:rPr>
            <w:rFonts w:ascii="Helvetica Neue" w:eastAsia="Times New Roman" w:hAnsi="Helvetica Neue" w:cs="Times New Roman"/>
            <w:i/>
            <w:iCs/>
            <w:color w:val="0000FF"/>
            <w:u w:val="single"/>
            <w:bdr w:val="none" w:sz="0" w:space="0" w:color="auto" w:frame="1"/>
          </w:rPr>
          <w:t> (Links to an external site.)</w:t>
        </w:r>
      </w:hyperlink>
      <w:r w:rsidRPr="00F948F3">
        <w:rPr>
          <w:rFonts w:ascii="Helvetica Neue" w:eastAsia="Times New Roman" w:hAnsi="Helvetica Neue" w:cs="Times New Roman"/>
          <w:i/>
          <w:iCs/>
          <w:color w:val="000000"/>
        </w:rPr>
        <w:t>, and how it came about. Let me give a brief history of how I came across it before adapting it to suit my use of the concept. I first began using an early version of the Futures Cone diagram (i.e., with fewer categories) in 2000 when working as a foresight analyst for Swinburne University (before becoming an academic in the Master of Strategic Foresight).  The text in this post is excerpted from a chapter I submitted to the </w:t>
      </w:r>
      <w:r w:rsidRPr="00F948F3">
        <w:rPr>
          <w:rFonts w:ascii="Helvetica Neue" w:eastAsia="Times New Roman" w:hAnsi="Helvetica Neue" w:cs="Times New Roman"/>
          <w:color w:val="000000"/>
        </w:rPr>
        <w:t>Handbook of Anticipation</w:t>
      </w:r>
      <w:r w:rsidRPr="00F948F3">
        <w:rPr>
          <w:rFonts w:ascii="Helvetica Neue" w:eastAsia="Times New Roman" w:hAnsi="Helvetica Neue" w:cs="Times New Roman"/>
          <w:i/>
          <w:iCs/>
          <w:color w:val="000000"/>
        </w:rPr>
        <w:t xml:space="preserve">, ed. Roberto </w:t>
      </w:r>
      <w:proofErr w:type="spellStart"/>
      <w:r w:rsidRPr="00F948F3">
        <w:rPr>
          <w:rFonts w:ascii="Helvetica Neue" w:eastAsia="Times New Roman" w:hAnsi="Helvetica Neue" w:cs="Times New Roman"/>
          <w:i/>
          <w:iCs/>
          <w:color w:val="000000"/>
        </w:rPr>
        <w:t>Poli</w:t>
      </w:r>
      <w:proofErr w:type="spellEnd"/>
      <w:r w:rsidRPr="00F948F3">
        <w:rPr>
          <w:rFonts w:ascii="Helvetica Neue" w:eastAsia="Times New Roman" w:hAnsi="Helvetica Neue" w:cs="Times New Roman"/>
          <w:i/>
          <w:iCs/>
          <w:color w:val="000000"/>
        </w:rPr>
        <w:t xml:space="preserve"> (Springer International). The “formal” citation for the chapter/book is:</w:t>
      </w:r>
    </w:p>
    <w:p w14:paraId="498AFCDF" w14:textId="77777777" w:rsidR="00F948F3" w:rsidRPr="00F948F3" w:rsidRDefault="00F948F3" w:rsidP="00F948F3">
      <w:pPr>
        <w:shd w:val="clear" w:color="auto" w:fill="FFFFFF"/>
        <w:rPr>
          <w:rFonts w:ascii="Helvetica Neue" w:eastAsia="Times New Roman" w:hAnsi="Helvetica Neue" w:cs="Times New Roman"/>
          <w:color w:val="000000"/>
        </w:rPr>
      </w:pPr>
      <w:proofErr w:type="spellStart"/>
      <w:r w:rsidRPr="00F948F3">
        <w:rPr>
          <w:rFonts w:ascii="Helvetica Neue" w:eastAsia="Times New Roman" w:hAnsi="Helvetica Neue" w:cs="Times New Roman"/>
          <w:color w:val="000000"/>
        </w:rPr>
        <w:t>Voros</w:t>
      </w:r>
      <w:proofErr w:type="spellEnd"/>
      <w:r w:rsidRPr="00F948F3">
        <w:rPr>
          <w:rFonts w:ascii="Helvetica Neue" w:eastAsia="Times New Roman" w:hAnsi="Helvetica Neue" w:cs="Times New Roman"/>
          <w:color w:val="000000"/>
        </w:rPr>
        <w:t xml:space="preserve">, J 2017, ‘Big History and anticipation: Using Big History as a framework for global foresight’, in R </w:t>
      </w:r>
      <w:proofErr w:type="spellStart"/>
      <w:r w:rsidRPr="00F948F3">
        <w:rPr>
          <w:rFonts w:ascii="Helvetica Neue" w:eastAsia="Times New Roman" w:hAnsi="Helvetica Neue" w:cs="Times New Roman"/>
          <w:color w:val="000000"/>
        </w:rPr>
        <w:t>Poli</w:t>
      </w:r>
      <w:proofErr w:type="spellEnd"/>
      <w:r w:rsidRPr="00F948F3">
        <w:rPr>
          <w:rFonts w:ascii="Helvetica Neue" w:eastAsia="Times New Roman" w:hAnsi="Helvetica Neue" w:cs="Times New Roman"/>
          <w:color w:val="000000"/>
        </w:rPr>
        <w:t xml:space="preserve"> (ed.) </w:t>
      </w:r>
      <w:r w:rsidRPr="00F948F3">
        <w:rPr>
          <w:rFonts w:ascii="Helvetica Neue" w:eastAsia="Times New Roman" w:hAnsi="Helvetica Neue" w:cs="Times New Roman"/>
          <w:i/>
          <w:iCs/>
          <w:color w:val="000000"/>
        </w:rPr>
        <w:t>Handbook of anticipation: Theoretical and applied aspects of the use of future in decision making</w:t>
      </w:r>
      <w:r w:rsidRPr="00F948F3">
        <w:rPr>
          <w:rFonts w:ascii="Helvetica Neue" w:eastAsia="Times New Roman" w:hAnsi="Helvetica Neue" w:cs="Times New Roman"/>
          <w:color w:val="000000"/>
        </w:rPr>
        <w:t>, Springer International, Cham. doi:</w:t>
      </w:r>
      <w:hyperlink r:id="rId7" w:tgtFrame="_blank" w:history="1">
        <w:r w:rsidRPr="00F948F3">
          <w:rPr>
            <w:rFonts w:ascii="Helvetica Neue" w:eastAsia="Times New Roman" w:hAnsi="Helvetica Neue" w:cs="Times New Roman"/>
            <w:color w:val="0000FF"/>
            <w:u w:val="single"/>
          </w:rPr>
          <w:t>10.1007/978-3-319-31737-3_95-1</w:t>
        </w:r>
        <w:r w:rsidRPr="00F948F3">
          <w:rPr>
            <w:rFonts w:ascii="Helvetica Neue" w:eastAsia="Times New Roman" w:hAnsi="Helvetica Neue" w:cs="Times New Roman"/>
            <w:color w:val="0000FF"/>
            <w:u w:val="single"/>
            <w:bdr w:val="none" w:sz="0" w:space="0" w:color="auto" w:frame="1"/>
          </w:rPr>
          <w:t> (Links to an external site.)</w:t>
        </w:r>
      </w:hyperlink>
      <w:r w:rsidRPr="00F948F3">
        <w:rPr>
          <w:rFonts w:ascii="Helvetica Neue" w:eastAsia="Times New Roman" w:hAnsi="Helvetica Neue" w:cs="Times New Roman"/>
          <w:color w:val="000000"/>
        </w:rPr>
        <w:t>,</w:t>
      </w:r>
    </w:p>
    <w:p w14:paraId="7413D74B"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i/>
          <w:iCs/>
          <w:color w:val="000000"/>
        </w:rPr>
        <w:t>while the text in this post is from the section of that chapter entitled ‘Types of Alternative Futures’, pp. 10-13, and the “cone” diagram itself is: Fig. 4, p. 11.</w:t>
      </w:r>
    </w:p>
    <w:p w14:paraId="383741BF"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 </w:t>
      </w:r>
    </w:p>
    <w:p w14:paraId="3AE20CA3" w14:textId="77777777" w:rsidR="00F948F3" w:rsidRPr="00F948F3" w:rsidRDefault="005A7854" w:rsidP="00F948F3">
      <w:pPr>
        <w:shd w:val="clear" w:color="auto" w:fill="FFFFFF"/>
        <w:spacing w:before="300" w:after="300"/>
        <w:rPr>
          <w:rFonts w:ascii="Helvetica Neue" w:eastAsia="Times New Roman" w:hAnsi="Helvetica Neue" w:cs="Times New Roman"/>
          <w:color w:val="000000"/>
        </w:rPr>
      </w:pPr>
      <w:r w:rsidRPr="00F948F3">
        <w:rPr>
          <w:rFonts w:ascii="Helvetica Neue" w:eastAsia="Times New Roman" w:hAnsi="Helvetica Neue" w:cs="Times New Roman"/>
          <w:noProof/>
          <w:color w:val="000000"/>
        </w:rPr>
        <w:pict w14:anchorId="6E696FA2">
          <v:rect id="_x0000_i1025" alt="" style="width:468pt;height:.05pt;mso-width-percent:0;mso-height-percent:0;mso-width-percent:0;mso-height-percent:0" o:hralign="center" o:hrstd="t" o:hr="t" fillcolor="#a0a0a0" stroked="f"/>
        </w:pict>
      </w:r>
    </w:p>
    <w:p w14:paraId="0D0B914D"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Futurists have often spoken and continue to speak of </w:t>
      </w:r>
      <w:r w:rsidRPr="00F948F3">
        <w:rPr>
          <w:rFonts w:ascii="Helvetica Neue" w:eastAsia="Times New Roman" w:hAnsi="Helvetica Neue" w:cs="Times New Roman"/>
          <w:i/>
          <w:iCs/>
          <w:color w:val="000000"/>
        </w:rPr>
        <w:t>three</w:t>
      </w:r>
      <w:r w:rsidRPr="00F948F3">
        <w:rPr>
          <w:rFonts w:ascii="Helvetica Neue" w:eastAsia="Times New Roman" w:hAnsi="Helvetica Neue" w:cs="Times New Roman"/>
          <w:color w:val="000000"/>
        </w:rPr>
        <w:t xml:space="preserve"> main classes of futures: possible, probable, and preferable (e.g., Amara 1974, 1981; Bell 1997, and many others). These have at times lent themselves to define various forms of more </w:t>
      </w:r>
      <w:proofErr w:type="spellStart"/>
      <w:r w:rsidRPr="00F948F3">
        <w:rPr>
          <w:rFonts w:ascii="Helvetica Neue" w:eastAsia="Times New Roman" w:hAnsi="Helvetica Neue" w:cs="Times New Roman"/>
          <w:color w:val="000000"/>
        </w:rPr>
        <w:t>specialised</w:t>
      </w:r>
      <w:proofErr w:type="spellEnd"/>
      <w:r w:rsidRPr="00F948F3">
        <w:rPr>
          <w:rFonts w:ascii="Helvetica Neue" w:eastAsia="Times New Roman" w:hAnsi="Helvetica Neue" w:cs="Times New Roman"/>
          <w:color w:val="000000"/>
        </w:rPr>
        <w:t xml:space="preserve"> futures activity, with some futurists focusing on, as it were, </w:t>
      </w:r>
      <w:r w:rsidRPr="00F948F3">
        <w:rPr>
          <w:rFonts w:ascii="Helvetica Neue" w:eastAsia="Times New Roman" w:hAnsi="Helvetica Neue" w:cs="Times New Roman"/>
          <w:i/>
          <w:iCs/>
          <w:color w:val="000000"/>
        </w:rPr>
        <w:t>exploring the possible</w:t>
      </w:r>
      <w:r w:rsidRPr="00F948F3">
        <w:rPr>
          <w:rFonts w:ascii="Helvetica Neue" w:eastAsia="Times New Roman" w:hAnsi="Helvetica Neue" w:cs="Times New Roman"/>
          <w:color w:val="000000"/>
        </w:rPr>
        <w:t>; some on</w:t>
      </w:r>
      <w:r w:rsidRPr="00F948F3">
        <w:rPr>
          <w:rFonts w:ascii="Helvetica Neue" w:eastAsia="Times New Roman" w:hAnsi="Helvetica Neue" w:cs="Times New Roman"/>
          <w:i/>
          <w:iCs/>
          <w:color w:val="000000"/>
        </w:rPr>
        <w:t> </w:t>
      </w:r>
      <w:proofErr w:type="spellStart"/>
      <w:r w:rsidRPr="00F948F3">
        <w:rPr>
          <w:rFonts w:ascii="Helvetica Neue" w:eastAsia="Times New Roman" w:hAnsi="Helvetica Neue" w:cs="Times New Roman"/>
          <w:i/>
          <w:iCs/>
          <w:color w:val="000000"/>
        </w:rPr>
        <w:t>analysing</w:t>
      </w:r>
      <w:proofErr w:type="spellEnd"/>
      <w:r w:rsidRPr="00F948F3">
        <w:rPr>
          <w:rFonts w:ascii="Helvetica Neue" w:eastAsia="Times New Roman" w:hAnsi="Helvetica Neue" w:cs="Times New Roman"/>
          <w:i/>
          <w:iCs/>
          <w:color w:val="000000"/>
        </w:rPr>
        <w:t xml:space="preserve"> the probable</w:t>
      </w:r>
      <w:r w:rsidRPr="00F948F3">
        <w:rPr>
          <w:rFonts w:ascii="Helvetica Neue" w:eastAsia="Times New Roman" w:hAnsi="Helvetica Neue" w:cs="Times New Roman"/>
          <w:color w:val="000000"/>
        </w:rPr>
        <w:t>; and some on </w:t>
      </w:r>
      <w:r w:rsidRPr="00F948F3">
        <w:rPr>
          <w:rFonts w:ascii="Helvetica Neue" w:eastAsia="Times New Roman" w:hAnsi="Helvetica Neue" w:cs="Times New Roman"/>
          <w:i/>
          <w:iCs/>
          <w:color w:val="000000"/>
        </w:rPr>
        <w:t>shaping the preferable</w:t>
      </w:r>
      <w:r w:rsidRPr="00F948F3">
        <w:rPr>
          <w:rFonts w:ascii="Helvetica Neue" w:eastAsia="Times New Roman" w:hAnsi="Helvetica Neue" w:cs="Times New Roman"/>
          <w:color w:val="000000"/>
        </w:rPr>
        <w:t>, with many related variations on this nomenclature and phraseology (e.g., again, Amara 1991, and many others).  It is possible to expand upon this three-part taxonomy to include at least 7 (or even 8) major types of alternative futures.</w:t>
      </w:r>
    </w:p>
    <w:p w14:paraId="0FD1E069" w14:textId="77777777" w:rsidR="00F948F3" w:rsidRPr="00F948F3" w:rsidRDefault="00F948F3" w:rsidP="00F948F3">
      <w:pPr>
        <w:shd w:val="clear" w:color="auto" w:fill="FFFFFF"/>
        <w:rPr>
          <w:rFonts w:ascii="Helvetica Neue" w:eastAsia="Times New Roman" w:hAnsi="Helvetica Neue" w:cs="Times New Roman"/>
          <w:color w:val="000000"/>
        </w:rPr>
      </w:pPr>
      <w:r w:rsidRPr="00F948F3">
        <w:rPr>
          <w:rFonts w:ascii="Helvetica Neue" w:eastAsia="Times New Roman" w:hAnsi="Helvetica Neue" w:cs="Times New Roman"/>
          <w:color w:val="000000"/>
        </w:rPr>
        <w:t>It is convenient to depict this expanded taxonomy of alternative futures as a ‘cone’ diagram. The ‘futures cone’ model was used to portray alternative futures by </w:t>
      </w:r>
      <w:hyperlink r:id="rId8" w:tgtFrame="_blank" w:history="1">
        <w:r w:rsidRPr="00F948F3">
          <w:rPr>
            <w:rFonts w:ascii="Helvetica Neue" w:eastAsia="Times New Roman" w:hAnsi="Helvetica Neue" w:cs="Times New Roman"/>
            <w:color w:val="0000FF"/>
            <w:u w:val="single"/>
          </w:rPr>
          <w:t>Hancock</w:t>
        </w:r>
        <w:r w:rsidRPr="00F948F3">
          <w:rPr>
            <w:rFonts w:ascii="Helvetica Neue" w:eastAsia="Times New Roman" w:hAnsi="Helvetica Neue" w:cs="Times New Roman"/>
            <w:color w:val="0000FF"/>
            <w:u w:val="single"/>
            <w:bdr w:val="none" w:sz="0" w:space="0" w:color="auto" w:frame="1"/>
          </w:rPr>
          <w:t> (Links to an external site.)</w:t>
        </w:r>
      </w:hyperlink>
      <w:r w:rsidRPr="00F948F3">
        <w:rPr>
          <w:rFonts w:ascii="Helvetica Neue" w:eastAsia="Times New Roman" w:hAnsi="Helvetica Neue" w:cs="Times New Roman"/>
          <w:color w:val="000000"/>
        </w:rPr>
        <w:t xml:space="preserve"> and </w:t>
      </w:r>
      <w:proofErr w:type="spellStart"/>
      <w:r w:rsidRPr="00F948F3">
        <w:rPr>
          <w:rFonts w:ascii="Helvetica Neue" w:eastAsia="Times New Roman" w:hAnsi="Helvetica Neue" w:cs="Times New Roman"/>
          <w:color w:val="000000"/>
        </w:rPr>
        <w:t>Bezold</w:t>
      </w:r>
      <w:proofErr w:type="spellEnd"/>
      <w:r w:rsidRPr="00F948F3">
        <w:rPr>
          <w:rFonts w:ascii="Helvetica Neue" w:eastAsia="Times New Roman" w:hAnsi="Helvetica Neue" w:cs="Times New Roman"/>
          <w:color w:val="000000"/>
        </w:rPr>
        <w:t xml:space="preserve"> (1994), and was itself based on a taxonomy of futures by </w:t>
      </w:r>
      <w:proofErr w:type="spellStart"/>
      <w:r w:rsidRPr="00F948F3">
        <w:rPr>
          <w:rFonts w:ascii="Helvetica Neue" w:eastAsia="Times New Roman" w:hAnsi="Helvetica Neue" w:cs="Times New Roman"/>
          <w:color w:val="000000"/>
        </w:rPr>
        <w:t>Henchey</w:t>
      </w:r>
      <w:proofErr w:type="spellEnd"/>
      <w:r w:rsidRPr="00F948F3">
        <w:rPr>
          <w:rFonts w:ascii="Helvetica Neue" w:eastAsia="Times New Roman" w:hAnsi="Helvetica Neue" w:cs="Times New Roman"/>
          <w:color w:val="000000"/>
        </w:rPr>
        <w:t xml:space="preserve"> (1978), wherein four main classes of future were discussed (possible, plausible, probable, preferable). Some years later I found out that this idea of a cone graphic was used even earlier than Hancock and </w:t>
      </w:r>
      <w:proofErr w:type="spellStart"/>
      <w:r w:rsidRPr="00F948F3">
        <w:rPr>
          <w:rFonts w:ascii="Helvetica Neue" w:eastAsia="Times New Roman" w:hAnsi="Helvetica Neue" w:cs="Times New Roman"/>
          <w:color w:val="000000"/>
        </w:rPr>
        <w:t>Bezold</w:t>
      </w:r>
      <w:proofErr w:type="spellEnd"/>
      <w:r w:rsidRPr="00F948F3">
        <w:rPr>
          <w:rFonts w:ascii="Helvetica Neue" w:eastAsia="Times New Roman" w:hAnsi="Helvetica Neue" w:cs="Times New Roman"/>
          <w:color w:val="000000"/>
        </w:rPr>
        <w:t xml:space="preserve"> (1994) by Charles Taylor (1990), in which he wrote of a “cone of plausibility” that defined a range of </w:t>
      </w:r>
      <w:r w:rsidRPr="00F948F3">
        <w:rPr>
          <w:rFonts w:ascii="Helvetica Neue" w:eastAsia="Times New Roman" w:hAnsi="Helvetica Neue" w:cs="Times New Roman"/>
          <w:i/>
          <w:iCs/>
          <w:color w:val="000000"/>
        </w:rPr>
        <w:t>plausible</w:t>
      </w:r>
      <w:r w:rsidRPr="00F948F3">
        <w:rPr>
          <w:rFonts w:ascii="Helvetica Neue" w:eastAsia="Times New Roman" w:hAnsi="Helvetica Neue" w:cs="Times New Roman"/>
          <w:color w:val="000000"/>
        </w:rPr>
        <w:t> futures extended over an explicit timeframe, including a kind of ‘back-</w:t>
      </w:r>
      <w:r w:rsidRPr="00F948F3">
        <w:rPr>
          <w:rFonts w:ascii="Helvetica Neue" w:eastAsia="Times New Roman" w:hAnsi="Helvetica Neue" w:cs="Times New Roman"/>
          <w:color w:val="000000"/>
        </w:rPr>
        <w:lastRenderedPageBreak/>
        <w:t xml:space="preserve">cone’ into the past. He also included “wildcards” in his approach, but other futures categories mentioned here were not explicitly depicted in the diagram given by Taylor as they were by Hancock and </w:t>
      </w:r>
      <w:proofErr w:type="spellStart"/>
      <w:r w:rsidRPr="00F948F3">
        <w:rPr>
          <w:rFonts w:ascii="Helvetica Neue" w:eastAsia="Times New Roman" w:hAnsi="Helvetica Neue" w:cs="Times New Roman"/>
          <w:color w:val="000000"/>
        </w:rPr>
        <w:t>Bezold</w:t>
      </w:r>
      <w:proofErr w:type="spellEnd"/>
      <w:r w:rsidRPr="00F948F3">
        <w:rPr>
          <w:rFonts w:ascii="Helvetica Neue" w:eastAsia="Times New Roman" w:hAnsi="Helvetica Neue" w:cs="Times New Roman"/>
          <w:color w:val="000000"/>
        </w:rPr>
        <w:t>.</w:t>
      </w:r>
    </w:p>
    <w:p w14:paraId="019AE0C8"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Over the years that I have been using the Futures Cone in foresight teaching and practice, I have found it useful to adapt it and add more classes to the initial few. The most recent version of the Futures Cone as I now use it is as depicted in the figure shown.</w:t>
      </w:r>
    </w:p>
    <w:p w14:paraId="2DAE1AD2" w14:textId="54F3D579"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fldChar w:fldCharType="begin"/>
      </w:r>
      <w:r w:rsidRPr="00F948F3">
        <w:rPr>
          <w:rFonts w:ascii="Helvetica Neue" w:eastAsia="Times New Roman" w:hAnsi="Helvetica Neue" w:cs="Times New Roman"/>
          <w:color w:val="000000"/>
        </w:rPr>
        <w:instrText xml:space="preserve"> INCLUDEPICTURE "https://thevoroscope.files.wordpress.com/2015/12/futurescone-cdb.png?w=840" \* MERGEFORMATINET </w:instrText>
      </w:r>
      <w:r w:rsidRPr="00F948F3">
        <w:rPr>
          <w:rFonts w:ascii="Helvetica Neue" w:eastAsia="Times New Roman" w:hAnsi="Helvetica Neue" w:cs="Times New Roman"/>
          <w:color w:val="000000"/>
        </w:rPr>
        <w:fldChar w:fldCharType="separate"/>
      </w:r>
      <w:r w:rsidRPr="00F948F3">
        <w:rPr>
          <w:rFonts w:ascii="Helvetica Neue" w:eastAsia="Times New Roman" w:hAnsi="Helvetica Neue" w:cs="Times New Roman"/>
          <w:noProof/>
          <w:color w:val="000000"/>
        </w:rPr>
        <w:drawing>
          <wp:inline distT="0" distB="0" distL="0" distR="0" wp14:anchorId="5DEC8B11" wp14:editId="3B6CB8A1">
            <wp:extent cx="5943600" cy="4037965"/>
            <wp:effectExtent l="0" t="0" r="0" b="635"/>
            <wp:docPr id="1" name="Picture 1" descr="FuturesCone-C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turesCone-CD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037965"/>
                    </a:xfrm>
                    <a:prstGeom prst="rect">
                      <a:avLst/>
                    </a:prstGeom>
                    <a:noFill/>
                    <a:ln>
                      <a:noFill/>
                    </a:ln>
                  </pic:spPr>
                </pic:pic>
              </a:graphicData>
            </a:graphic>
          </wp:inline>
        </w:drawing>
      </w:r>
      <w:r w:rsidRPr="00F948F3">
        <w:rPr>
          <w:rFonts w:ascii="Helvetica Neue" w:eastAsia="Times New Roman" w:hAnsi="Helvetica Neue" w:cs="Times New Roman"/>
          <w:color w:val="000000"/>
        </w:rPr>
        <w:fldChar w:fldCharType="end"/>
      </w:r>
    </w:p>
    <w:p w14:paraId="0B47ACAE"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The 7 types of alternative futures defined below (or 8 if one also includes a specific singular ‘predicted’ future, which I generally don’t do any more) are all considered to be </w:t>
      </w:r>
      <w:r w:rsidRPr="00F948F3">
        <w:rPr>
          <w:rFonts w:ascii="Helvetica Neue" w:eastAsia="Times New Roman" w:hAnsi="Helvetica Neue" w:cs="Times New Roman"/>
          <w:i/>
          <w:iCs/>
          <w:color w:val="000000"/>
        </w:rPr>
        <w:t>subjective</w:t>
      </w:r>
      <w:r w:rsidRPr="00F948F3">
        <w:rPr>
          <w:rFonts w:ascii="Helvetica Neue" w:eastAsia="Times New Roman" w:hAnsi="Helvetica Neue" w:cs="Times New Roman"/>
          <w:color w:val="000000"/>
        </w:rPr>
        <w:t> </w:t>
      </w:r>
      <w:r w:rsidRPr="00F948F3">
        <w:rPr>
          <w:rFonts w:ascii="Helvetica Neue" w:eastAsia="Times New Roman" w:hAnsi="Helvetica Neue" w:cs="Times New Roman"/>
          <w:i/>
          <w:iCs/>
          <w:color w:val="000000"/>
        </w:rPr>
        <w:t>judgements</w:t>
      </w:r>
      <w:r w:rsidRPr="00F948F3">
        <w:rPr>
          <w:rFonts w:ascii="Helvetica Neue" w:eastAsia="Times New Roman" w:hAnsi="Helvetica Neue" w:cs="Times New Roman"/>
          <w:color w:val="000000"/>
        </w:rPr>
        <w:t> about ideas about the future that are </w:t>
      </w:r>
      <w:r w:rsidRPr="00F948F3">
        <w:rPr>
          <w:rFonts w:ascii="Helvetica Neue" w:eastAsia="Times New Roman" w:hAnsi="Helvetica Neue" w:cs="Times New Roman"/>
          <w:i/>
          <w:iCs/>
          <w:color w:val="000000"/>
        </w:rPr>
        <w:t>based in the present moment</w:t>
      </w:r>
      <w:r w:rsidRPr="00F948F3">
        <w:rPr>
          <w:rFonts w:ascii="Helvetica Neue" w:eastAsia="Times New Roman" w:hAnsi="Helvetica Neue" w:cs="Times New Roman"/>
          <w:color w:val="000000"/>
        </w:rPr>
        <w:t>, so the categories for the same idea can obviously change over time as time goes on (the canonical example of which is the Apollo XI Moon landing, which has gone through most of the categories from ‘preposterous’ to ‘projected’ and thence into history as ‘the past’). In brief, these categories are:</w:t>
      </w:r>
    </w:p>
    <w:p w14:paraId="57B84BA4"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Potential</w:t>
      </w:r>
      <w:r w:rsidRPr="00F948F3">
        <w:rPr>
          <w:rFonts w:ascii="Helvetica Neue" w:eastAsia="Times New Roman" w:hAnsi="Helvetica Neue" w:cs="Times New Roman"/>
          <w:color w:val="000000"/>
        </w:rPr>
        <w:t> – everything beyond the present moment is a potential future. This comes from the assumption that the future is undetermined and ‘open’ not inevitable or ‘fixed’, which is perhaps </w:t>
      </w:r>
      <w:r w:rsidRPr="00F948F3">
        <w:rPr>
          <w:rFonts w:ascii="Helvetica Neue" w:eastAsia="Times New Roman" w:hAnsi="Helvetica Neue" w:cs="Times New Roman"/>
          <w:i/>
          <w:iCs/>
          <w:color w:val="000000"/>
        </w:rPr>
        <w:t>the</w:t>
      </w:r>
      <w:r w:rsidRPr="00F948F3">
        <w:rPr>
          <w:rFonts w:ascii="Helvetica Neue" w:eastAsia="Times New Roman" w:hAnsi="Helvetica Neue" w:cs="Times New Roman"/>
          <w:color w:val="000000"/>
        </w:rPr>
        <w:t> foundational axiom of Futures Studies.</w:t>
      </w:r>
    </w:p>
    <w:p w14:paraId="543AAC27"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Preposterous</w:t>
      </w:r>
      <w:r w:rsidRPr="00F948F3">
        <w:rPr>
          <w:rFonts w:ascii="Helvetica Neue" w:eastAsia="Times New Roman" w:hAnsi="Helvetica Neue" w:cs="Times New Roman"/>
          <w:color w:val="000000"/>
        </w:rPr>
        <w:t xml:space="preserve"> – these are the futures we judge to be ‘ridiculous’, ‘impossible’, or that will ‘never’ happen. I introduced this category because the next category (which used to be the edge of the original form of the cone) did not seem big </w:t>
      </w:r>
      <w:r w:rsidRPr="00F948F3">
        <w:rPr>
          <w:rFonts w:ascii="Helvetica Neue" w:eastAsia="Times New Roman" w:hAnsi="Helvetica Neue" w:cs="Times New Roman"/>
          <w:color w:val="000000"/>
        </w:rPr>
        <w:lastRenderedPageBreak/>
        <w:t xml:space="preserve">enough, or able to capture the sometimes-vehement refusal to even entertain them that some people would exhibit to some ideas about the future. This category arises from homage to James </w:t>
      </w:r>
      <w:proofErr w:type="spellStart"/>
      <w:r w:rsidRPr="00F948F3">
        <w:rPr>
          <w:rFonts w:ascii="Helvetica Neue" w:eastAsia="Times New Roman" w:hAnsi="Helvetica Neue" w:cs="Times New Roman"/>
          <w:color w:val="000000"/>
        </w:rPr>
        <w:t>Dator</w:t>
      </w:r>
      <w:proofErr w:type="spellEnd"/>
      <w:r w:rsidRPr="00F948F3">
        <w:rPr>
          <w:rFonts w:ascii="Helvetica Neue" w:eastAsia="Times New Roman" w:hAnsi="Helvetica Neue" w:cs="Times New Roman"/>
          <w:color w:val="000000"/>
        </w:rPr>
        <w:t xml:space="preserve"> and his Second Law of the Future—“any useful idea about the future should appear ridiculous” (</w:t>
      </w:r>
      <w:proofErr w:type="spellStart"/>
      <w:r w:rsidRPr="00F948F3">
        <w:rPr>
          <w:rFonts w:ascii="Helvetica Neue" w:eastAsia="Times New Roman" w:hAnsi="Helvetica Neue" w:cs="Times New Roman"/>
          <w:color w:val="000000"/>
        </w:rPr>
        <w:t>Dator</w:t>
      </w:r>
      <w:proofErr w:type="spellEnd"/>
      <w:r w:rsidRPr="00F948F3">
        <w:rPr>
          <w:rFonts w:ascii="Helvetica Neue" w:eastAsia="Times New Roman" w:hAnsi="Helvetica Neue" w:cs="Times New Roman"/>
          <w:color w:val="000000"/>
        </w:rPr>
        <w:t xml:space="preserve"> 2005)—as well as to Arthur C. Clarke and his Second Law—“the only way of finding the limits of the possible is by going beyond them into the impossible” (Clarke 2000, p. 2). Accordingly, the boundary between the Preposterous and the Possible could be reasonably called the ‘Clarke-</w:t>
      </w:r>
      <w:proofErr w:type="spellStart"/>
      <w:r w:rsidRPr="00F948F3">
        <w:rPr>
          <w:rFonts w:ascii="Helvetica Neue" w:eastAsia="Times New Roman" w:hAnsi="Helvetica Neue" w:cs="Times New Roman"/>
          <w:color w:val="000000"/>
        </w:rPr>
        <w:t>Dator</w:t>
      </w:r>
      <w:proofErr w:type="spellEnd"/>
      <w:r w:rsidRPr="00F948F3">
        <w:rPr>
          <w:rFonts w:ascii="Helvetica Neue" w:eastAsia="Times New Roman" w:hAnsi="Helvetica Neue" w:cs="Times New Roman"/>
          <w:color w:val="000000"/>
        </w:rPr>
        <w:t xml:space="preserve"> Boundary’ or perhaps the ‘Clarke-</w:t>
      </w:r>
      <w:proofErr w:type="spellStart"/>
      <w:r w:rsidRPr="00F948F3">
        <w:rPr>
          <w:rFonts w:ascii="Helvetica Neue" w:eastAsia="Times New Roman" w:hAnsi="Helvetica Neue" w:cs="Times New Roman"/>
          <w:color w:val="000000"/>
        </w:rPr>
        <w:t>Dator</w:t>
      </w:r>
      <w:proofErr w:type="spellEnd"/>
      <w:r w:rsidRPr="00F948F3">
        <w:rPr>
          <w:rFonts w:ascii="Helvetica Neue" w:eastAsia="Times New Roman" w:hAnsi="Helvetica Neue" w:cs="Times New Roman"/>
          <w:color w:val="000000"/>
        </w:rPr>
        <w:t xml:space="preserve"> Discontinuity’, since crossing it in the outward direction represents a very important but, for some people, very difficult, movement in prospection thinking. (This is what is represented by the red arrows in the diagram.)</w:t>
      </w:r>
    </w:p>
    <w:p w14:paraId="69EB46F5"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Possible</w:t>
      </w:r>
      <w:r w:rsidRPr="00F948F3">
        <w:rPr>
          <w:rFonts w:ascii="Helvetica Neue" w:eastAsia="Times New Roman" w:hAnsi="Helvetica Neue" w:cs="Times New Roman"/>
          <w:color w:val="000000"/>
        </w:rPr>
        <w:t> – these are those futures that we think ‘might’ happen, based on some future knowledge we do not yet possess, but which we might possess someday (e.g., warp drive).</w:t>
      </w:r>
    </w:p>
    <w:p w14:paraId="020E0956"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Plausible</w:t>
      </w:r>
      <w:r w:rsidRPr="00F948F3">
        <w:rPr>
          <w:rFonts w:ascii="Helvetica Neue" w:eastAsia="Times New Roman" w:hAnsi="Helvetica Neue" w:cs="Times New Roman"/>
          <w:color w:val="000000"/>
        </w:rPr>
        <w:t xml:space="preserve"> – those we think ‘could’ happen based on our current understanding of how the world works (physical laws, social processes, </w:t>
      </w:r>
      <w:proofErr w:type="spellStart"/>
      <w:r w:rsidRPr="00F948F3">
        <w:rPr>
          <w:rFonts w:ascii="Helvetica Neue" w:eastAsia="Times New Roman" w:hAnsi="Helvetica Neue" w:cs="Times New Roman"/>
          <w:color w:val="000000"/>
        </w:rPr>
        <w:t>etc</w:t>
      </w:r>
      <w:proofErr w:type="spellEnd"/>
      <w:r w:rsidRPr="00F948F3">
        <w:rPr>
          <w:rFonts w:ascii="Helvetica Neue" w:eastAsia="Times New Roman" w:hAnsi="Helvetica Neue" w:cs="Times New Roman"/>
          <w:color w:val="000000"/>
        </w:rPr>
        <w:t>).</w:t>
      </w:r>
    </w:p>
    <w:p w14:paraId="6F88E408"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Probable</w:t>
      </w:r>
      <w:r w:rsidRPr="00F948F3">
        <w:rPr>
          <w:rFonts w:ascii="Helvetica Neue" w:eastAsia="Times New Roman" w:hAnsi="Helvetica Neue" w:cs="Times New Roman"/>
          <w:color w:val="000000"/>
        </w:rPr>
        <w:t> – those we think are ‘likely to’ happen, usually based on (in many cases, quantitative) current trends.</w:t>
      </w:r>
    </w:p>
    <w:p w14:paraId="71A10529"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Preferable</w:t>
      </w:r>
      <w:r w:rsidRPr="00F948F3">
        <w:rPr>
          <w:rFonts w:ascii="Helvetica Neue" w:eastAsia="Times New Roman" w:hAnsi="Helvetica Neue" w:cs="Times New Roman"/>
          <w:color w:val="000000"/>
        </w:rPr>
        <w:t> – those we think ‘should’ or ‘ought to’ happen: normative value judgements as opposed to the mostly cognitive, above. There is also of course the associated converse class—the </w:t>
      </w:r>
      <w:r w:rsidRPr="00F948F3">
        <w:rPr>
          <w:rFonts w:ascii="Helvetica Neue" w:eastAsia="Times New Roman" w:hAnsi="Helvetica Neue" w:cs="Times New Roman"/>
          <w:b/>
          <w:bCs/>
          <w:i/>
          <w:iCs/>
          <w:color w:val="000000"/>
        </w:rPr>
        <w:t>un</w:t>
      </w:r>
      <w:r w:rsidRPr="00F948F3">
        <w:rPr>
          <w:rFonts w:ascii="Helvetica Neue" w:eastAsia="Times New Roman" w:hAnsi="Helvetica Neue" w:cs="Times New Roman"/>
          <w:i/>
          <w:iCs/>
          <w:color w:val="000000"/>
        </w:rPr>
        <w:t>-preferred</w:t>
      </w:r>
      <w:r w:rsidRPr="00F948F3">
        <w:rPr>
          <w:rFonts w:ascii="Helvetica Neue" w:eastAsia="Times New Roman" w:hAnsi="Helvetica Neue" w:cs="Times New Roman"/>
          <w:color w:val="000000"/>
        </w:rPr>
        <w:t> futures—a ‘shadow’ form of </w:t>
      </w:r>
      <w:r w:rsidRPr="00F948F3">
        <w:rPr>
          <w:rFonts w:ascii="Helvetica Neue" w:eastAsia="Times New Roman" w:hAnsi="Helvetica Neue" w:cs="Times New Roman"/>
          <w:i/>
          <w:iCs/>
          <w:color w:val="000000"/>
        </w:rPr>
        <w:t>anti</w:t>
      </w:r>
      <w:r w:rsidRPr="00F948F3">
        <w:rPr>
          <w:rFonts w:ascii="Helvetica Neue" w:eastAsia="Times New Roman" w:hAnsi="Helvetica Neue" w:cs="Times New Roman"/>
          <w:color w:val="000000"/>
        </w:rPr>
        <w:t>-normative futures that we think should </w:t>
      </w:r>
      <w:r w:rsidRPr="00F948F3">
        <w:rPr>
          <w:rFonts w:ascii="Helvetica Neue" w:eastAsia="Times New Roman" w:hAnsi="Helvetica Neue" w:cs="Times New Roman"/>
          <w:i/>
          <w:iCs/>
          <w:color w:val="000000"/>
        </w:rPr>
        <w:t>not</w:t>
      </w:r>
      <w:r w:rsidRPr="00F948F3">
        <w:rPr>
          <w:rFonts w:ascii="Helvetica Neue" w:eastAsia="Times New Roman" w:hAnsi="Helvetica Neue" w:cs="Times New Roman"/>
          <w:color w:val="000000"/>
        </w:rPr>
        <w:t xml:space="preserve"> happen nor ever be allowed to happen (e.g., global climate change scenarios </w:t>
      </w:r>
      <w:proofErr w:type="gramStart"/>
      <w:r w:rsidRPr="00F948F3">
        <w:rPr>
          <w:rFonts w:ascii="Helvetica Neue" w:eastAsia="Times New Roman" w:hAnsi="Helvetica Neue" w:cs="Times New Roman"/>
          <w:color w:val="000000"/>
        </w:rPr>
        <w:t>comes</w:t>
      </w:r>
      <w:proofErr w:type="gramEnd"/>
      <w:r w:rsidRPr="00F948F3">
        <w:rPr>
          <w:rFonts w:ascii="Helvetica Neue" w:eastAsia="Times New Roman" w:hAnsi="Helvetica Neue" w:cs="Times New Roman"/>
          <w:color w:val="000000"/>
        </w:rPr>
        <w:t xml:space="preserve"> to mind).</w:t>
      </w:r>
    </w:p>
    <w:p w14:paraId="494FE935"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b/>
          <w:bCs/>
          <w:color w:val="000000"/>
        </w:rPr>
        <w:t>Projected</w:t>
      </w:r>
      <w:r w:rsidRPr="00F948F3">
        <w:rPr>
          <w:rFonts w:ascii="Helvetica Neue" w:eastAsia="Times New Roman" w:hAnsi="Helvetica Neue" w:cs="Times New Roman"/>
          <w:color w:val="000000"/>
        </w:rPr>
        <w:t> – the (singular) default, </w:t>
      </w:r>
      <w:r w:rsidRPr="00F948F3">
        <w:rPr>
          <w:rFonts w:ascii="Helvetica Neue" w:eastAsia="Times New Roman" w:hAnsi="Helvetica Neue" w:cs="Times New Roman"/>
          <w:i/>
          <w:iCs/>
          <w:color w:val="000000"/>
        </w:rPr>
        <w:t>business as usual</w:t>
      </w:r>
      <w:r w:rsidRPr="00F948F3">
        <w:rPr>
          <w:rFonts w:ascii="Helvetica Neue" w:eastAsia="Times New Roman" w:hAnsi="Helvetica Neue" w:cs="Times New Roman"/>
          <w:color w:val="000000"/>
        </w:rPr>
        <w:t>, ‘baseline’, extrapolated ‘continuation of the past through the present’ future. This single future could also be considered as being ‘the most probable’ of the Probable futures. And,</w:t>
      </w:r>
    </w:p>
    <w:p w14:paraId="19B28513" w14:textId="77777777" w:rsidR="00F948F3" w:rsidRPr="00F948F3" w:rsidRDefault="00F948F3" w:rsidP="00F948F3">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F948F3">
        <w:rPr>
          <w:rFonts w:ascii="Helvetica Neue" w:eastAsia="Times New Roman" w:hAnsi="Helvetica Neue" w:cs="Times New Roman"/>
          <w:color w:val="000000"/>
        </w:rPr>
        <w:t>(</w:t>
      </w:r>
      <w:r w:rsidRPr="00F948F3">
        <w:rPr>
          <w:rFonts w:ascii="Helvetica Neue" w:eastAsia="Times New Roman" w:hAnsi="Helvetica Neue" w:cs="Times New Roman"/>
          <w:b/>
          <w:bCs/>
          <w:color w:val="000000"/>
        </w:rPr>
        <w:t>Predicted</w:t>
      </w:r>
      <w:r w:rsidRPr="00F948F3">
        <w:rPr>
          <w:rFonts w:ascii="Helvetica Neue" w:eastAsia="Times New Roman" w:hAnsi="Helvetica Neue" w:cs="Times New Roman"/>
          <w:color w:val="000000"/>
        </w:rPr>
        <w:t>) – </w:t>
      </w:r>
      <w:r w:rsidRPr="00F948F3">
        <w:rPr>
          <w:rFonts w:ascii="Helvetica Neue" w:eastAsia="Times New Roman" w:hAnsi="Helvetica Neue" w:cs="Times New Roman"/>
          <w:i/>
          <w:iCs/>
          <w:color w:val="000000"/>
        </w:rPr>
        <w:t>the</w:t>
      </w:r>
      <w:r w:rsidRPr="00F948F3">
        <w:rPr>
          <w:rFonts w:ascii="Helvetica Neue" w:eastAsia="Times New Roman" w:hAnsi="Helvetica Neue" w:cs="Times New Roman"/>
          <w:color w:val="000000"/>
        </w:rPr>
        <w:t> future that someone claims ‘</w:t>
      </w:r>
      <w:r w:rsidRPr="00F948F3">
        <w:rPr>
          <w:rFonts w:ascii="Helvetica Neue" w:eastAsia="Times New Roman" w:hAnsi="Helvetica Neue" w:cs="Times New Roman"/>
          <w:i/>
          <w:iCs/>
          <w:color w:val="000000"/>
        </w:rPr>
        <w:t>will</w:t>
      </w:r>
      <w:r w:rsidRPr="00F948F3">
        <w:rPr>
          <w:rFonts w:ascii="Helvetica Neue" w:eastAsia="Times New Roman" w:hAnsi="Helvetica Neue" w:cs="Times New Roman"/>
          <w:color w:val="000000"/>
        </w:rPr>
        <w:t>’ happen. I briefly toyed with using this category for a few years quite some time ago now, but I ended up not using it anymore because it tends to cloud the openness to possibilities (or, more usefully, the ‘</w:t>
      </w:r>
      <w:proofErr w:type="spellStart"/>
      <w:r w:rsidRPr="00F948F3">
        <w:rPr>
          <w:rFonts w:ascii="Helvetica Neue" w:eastAsia="Times New Roman" w:hAnsi="Helvetica Neue" w:cs="Times New Roman"/>
          <w:color w:val="000000"/>
        </w:rPr>
        <w:t>preposter</w:t>
      </w:r>
      <w:proofErr w:type="spellEnd"/>
      <w:r w:rsidRPr="00F948F3">
        <w:rPr>
          <w:rFonts w:ascii="Helvetica Neue" w:eastAsia="Times New Roman" w:hAnsi="Helvetica Neue" w:cs="Times New Roman"/>
          <w:color w:val="000000"/>
        </w:rPr>
        <w:t>-abilities’!) that using the full Futures Cone is intended to engender.</w:t>
      </w:r>
    </w:p>
    <w:p w14:paraId="70A7F62D"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The above descriptions are best considered not as rigidly-separate categories, but rather as nested sets or </w:t>
      </w:r>
      <w:r w:rsidRPr="00F948F3">
        <w:rPr>
          <w:rFonts w:ascii="Helvetica Neue" w:eastAsia="Times New Roman" w:hAnsi="Helvetica Neue" w:cs="Times New Roman"/>
          <w:i/>
          <w:iCs/>
          <w:color w:val="000000"/>
        </w:rPr>
        <w:t>nested</w:t>
      </w:r>
      <w:r w:rsidRPr="00F948F3">
        <w:rPr>
          <w:rFonts w:ascii="Helvetica Neue" w:eastAsia="Times New Roman" w:hAnsi="Helvetica Neue" w:cs="Times New Roman"/>
          <w:color w:val="000000"/>
        </w:rPr>
        <w:t> </w:t>
      </w:r>
      <w:r w:rsidRPr="00F948F3">
        <w:rPr>
          <w:rFonts w:ascii="Helvetica Neue" w:eastAsia="Times New Roman" w:hAnsi="Helvetica Neue" w:cs="Times New Roman"/>
          <w:i/>
          <w:iCs/>
          <w:color w:val="000000"/>
        </w:rPr>
        <w:t>classes</w:t>
      </w:r>
      <w:r w:rsidRPr="00F948F3">
        <w:rPr>
          <w:rFonts w:ascii="Helvetica Neue" w:eastAsia="Times New Roman" w:hAnsi="Helvetica Neue" w:cs="Times New Roman"/>
          <w:color w:val="000000"/>
        </w:rPr>
        <w:t> of futures, with the progression down through the list moving from the broadest towards more narrow classes, ultimately to a class of one—the ‘projected’. Thus, </w:t>
      </w:r>
      <w:proofErr w:type="spellStart"/>
      <w:r w:rsidRPr="00F948F3">
        <w:rPr>
          <w:rFonts w:ascii="Helvetica Neue" w:eastAsia="Times New Roman" w:hAnsi="Helvetica Neue" w:cs="Times New Roman"/>
          <w:i/>
          <w:iCs/>
          <w:color w:val="000000"/>
        </w:rPr>
        <w:t>every</w:t>
      </w:r>
      <w:r w:rsidRPr="00F948F3">
        <w:rPr>
          <w:rFonts w:ascii="Helvetica Neue" w:eastAsia="Times New Roman" w:hAnsi="Helvetica Neue" w:cs="Times New Roman"/>
          <w:color w:val="000000"/>
        </w:rPr>
        <w:t>future</w:t>
      </w:r>
      <w:proofErr w:type="spellEnd"/>
      <w:r w:rsidRPr="00F948F3">
        <w:rPr>
          <w:rFonts w:ascii="Helvetica Neue" w:eastAsia="Times New Roman" w:hAnsi="Helvetica Neue" w:cs="Times New Roman"/>
          <w:color w:val="000000"/>
        </w:rPr>
        <w:t xml:space="preserve"> is a </w:t>
      </w:r>
      <w:r w:rsidRPr="00F948F3">
        <w:rPr>
          <w:rFonts w:ascii="Helvetica Neue" w:eastAsia="Times New Roman" w:hAnsi="Helvetica Neue" w:cs="Times New Roman"/>
          <w:i/>
          <w:iCs/>
          <w:color w:val="000000"/>
        </w:rPr>
        <w:t>potential</w:t>
      </w:r>
      <w:r w:rsidRPr="00F948F3">
        <w:rPr>
          <w:rFonts w:ascii="Helvetica Neue" w:eastAsia="Times New Roman" w:hAnsi="Helvetica Neue" w:cs="Times New Roman"/>
          <w:color w:val="000000"/>
        </w:rPr>
        <w:t> future, including </w:t>
      </w:r>
      <w:r w:rsidRPr="00F948F3">
        <w:rPr>
          <w:rFonts w:ascii="Helvetica Neue" w:eastAsia="Times New Roman" w:hAnsi="Helvetica Neue" w:cs="Times New Roman"/>
          <w:i/>
          <w:iCs/>
          <w:color w:val="000000"/>
        </w:rPr>
        <w:t>those we cannot even imagine</w:t>
      </w:r>
      <w:r w:rsidRPr="00F948F3">
        <w:rPr>
          <w:rFonts w:ascii="Helvetica Neue" w:eastAsia="Times New Roman" w:hAnsi="Helvetica Neue" w:cs="Times New Roman"/>
          <w:color w:val="000000"/>
        </w:rPr>
        <w:t xml:space="preserve">—these latter are outside the cone, in the ‘dark’ area, as it were. The cone metaphor can be likened to a spotlight or car headlight: bright in the </w:t>
      </w:r>
      <w:proofErr w:type="spellStart"/>
      <w:r w:rsidRPr="00F948F3">
        <w:rPr>
          <w:rFonts w:ascii="Helvetica Neue" w:eastAsia="Times New Roman" w:hAnsi="Helvetica Neue" w:cs="Times New Roman"/>
          <w:color w:val="000000"/>
        </w:rPr>
        <w:t>centre</w:t>
      </w:r>
      <w:proofErr w:type="spellEnd"/>
      <w:r w:rsidRPr="00F948F3">
        <w:rPr>
          <w:rFonts w:ascii="Helvetica Neue" w:eastAsia="Times New Roman" w:hAnsi="Helvetica Neue" w:cs="Times New Roman"/>
          <w:color w:val="000000"/>
        </w:rPr>
        <w:t xml:space="preserve"> and diffusing to darkness at the edge—a nice visual metaphor of the extent of our </w:t>
      </w:r>
      <w:proofErr w:type="gramStart"/>
      <w:r w:rsidRPr="00F948F3">
        <w:rPr>
          <w:rFonts w:ascii="Helvetica Neue" w:eastAsia="Times New Roman" w:hAnsi="Helvetica Neue" w:cs="Times New Roman"/>
          <w:color w:val="000000"/>
        </w:rPr>
        <w:t>futures</w:t>
      </w:r>
      <w:proofErr w:type="gramEnd"/>
      <w:r w:rsidRPr="00F948F3">
        <w:rPr>
          <w:rFonts w:ascii="Helvetica Neue" w:eastAsia="Times New Roman" w:hAnsi="Helvetica Neue" w:cs="Times New Roman"/>
          <w:color w:val="000000"/>
        </w:rPr>
        <w:t xml:space="preserve"> ‘vision’, so to speak. There is a key lesson to the listener when using this metaphor—just because we cannot imagine a future does not mean it cannot happen…</w:t>
      </w:r>
    </w:p>
    <w:p w14:paraId="769C191A"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Then there are all of the </w:t>
      </w:r>
      <w:r w:rsidRPr="00F948F3">
        <w:rPr>
          <w:rFonts w:ascii="Helvetica Neue" w:eastAsia="Times New Roman" w:hAnsi="Helvetica Neue" w:cs="Times New Roman"/>
          <w:i/>
          <w:iCs/>
          <w:color w:val="000000"/>
        </w:rPr>
        <w:t>imaginable</w:t>
      </w:r>
      <w:r w:rsidRPr="00F948F3">
        <w:rPr>
          <w:rFonts w:ascii="Helvetica Neue" w:eastAsia="Times New Roman" w:hAnsi="Helvetica Neue" w:cs="Times New Roman"/>
          <w:color w:val="000000"/>
        </w:rPr>
        <w:t> ones (i.e., </w:t>
      </w:r>
      <w:r w:rsidRPr="00F948F3">
        <w:rPr>
          <w:rFonts w:ascii="Helvetica Neue" w:eastAsia="Times New Roman" w:hAnsi="Helvetica Neue" w:cs="Times New Roman"/>
          <w:i/>
          <w:iCs/>
          <w:color w:val="000000"/>
        </w:rPr>
        <w:t>inside</w:t>
      </w:r>
      <w:r w:rsidRPr="00F948F3">
        <w:rPr>
          <w:rFonts w:ascii="Helvetica Neue" w:eastAsia="Times New Roman" w:hAnsi="Helvetica Neue" w:cs="Times New Roman"/>
          <w:color w:val="000000"/>
        </w:rPr>
        <w:t xml:space="preserve"> the cone), beginning with the sub-class of those that we judge to be unreasonable, (i.e., ridiculous), or impossible—‘preposterous’ in my alliteration— and the further sub-class of those that we judge to </w:t>
      </w:r>
      <w:r w:rsidRPr="00F948F3">
        <w:rPr>
          <w:rFonts w:ascii="Helvetica Neue" w:eastAsia="Times New Roman" w:hAnsi="Helvetica Neue" w:cs="Times New Roman"/>
          <w:color w:val="000000"/>
        </w:rPr>
        <w:lastRenderedPageBreak/>
        <w:t>be ‘reasonable but which would require </w:t>
      </w:r>
      <w:r w:rsidRPr="00F948F3">
        <w:rPr>
          <w:rFonts w:ascii="Helvetica Neue" w:eastAsia="Times New Roman" w:hAnsi="Helvetica Neue" w:cs="Times New Roman"/>
          <w:i/>
          <w:iCs/>
          <w:color w:val="000000"/>
        </w:rPr>
        <w:t>knowledge we do not yet possess but which we might possess in the future</w:t>
      </w:r>
      <w:r w:rsidRPr="00F948F3">
        <w:rPr>
          <w:rFonts w:ascii="Helvetica Neue" w:eastAsia="Times New Roman" w:hAnsi="Helvetica Neue" w:cs="Times New Roman"/>
          <w:color w:val="000000"/>
        </w:rPr>
        <w:t>’ and so ‘might’ happen—‘possible’.</w:t>
      </w:r>
    </w:p>
    <w:p w14:paraId="5D7BE4EB"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Then there is the sub-class of those that we think are </w:t>
      </w:r>
      <w:r w:rsidRPr="00F948F3">
        <w:rPr>
          <w:rFonts w:ascii="Helvetica Neue" w:eastAsia="Times New Roman" w:hAnsi="Helvetica Neue" w:cs="Times New Roman"/>
          <w:i/>
          <w:iCs/>
          <w:color w:val="000000"/>
        </w:rPr>
        <w:t>reasonable based on what we currently know</w:t>
      </w:r>
      <w:r w:rsidRPr="00F948F3">
        <w:rPr>
          <w:rFonts w:ascii="Helvetica Neue" w:eastAsia="Times New Roman" w:hAnsi="Helvetica Neue" w:cs="Times New Roman"/>
          <w:color w:val="000000"/>
        </w:rPr>
        <w:t>, and so ‘could’ happen; thus, ‘plausible’. And so on through the rest: the sub-class of futures based on </w:t>
      </w:r>
      <w:r w:rsidRPr="00F948F3">
        <w:rPr>
          <w:rFonts w:ascii="Helvetica Neue" w:eastAsia="Times New Roman" w:hAnsi="Helvetica Neue" w:cs="Times New Roman"/>
          <w:i/>
          <w:iCs/>
          <w:color w:val="000000"/>
        </w:rPr>
        <w:t>the playing out of current trends</w:t>
      </w:r>
      <w:r w:rsidRPr="00F948F3">
        <w:rPr>
          <w:rFonts w:ascii="Helvetica Neue" w:eastAsia="Times New Roman" w:hAnsi="Helvetica Neue" w:cs="Times New Roman"/>
          <w:color w:val="000000"/>
        </w:rPr>
        <w:t>—‘probable’; and finally the </w:t>
      </w:r>
      <w:r w:rsidRPr="00F948F3">
        <w:rPr>
          <w:rFonts w:ascii="Helvetica Neue" w:eastAsia="Times New Roman" w:hAnsi="Helvetica Neue" w:cs="Times New Roman"/>
          <w:i/>
          <w:iCs/>
          <w:color w:val="000000"/>
        </w:rPr>
        <w:t>default</w:t>
      </w:r>
      <w:r w:rsidRPr="00F948F3">
        <w:rPr>
          <w:rFonts w:ascii="Helvetica Neue" w:eastAsia="Times New Roman" w:hAnsi="Helvetica Neue" w:cs="Times New Roman"/>
          <w:color w:val="000000"/>
        </w:rPr>
        <w:t> </w:t>
      </w:r>
      <w:r w:rsidRPr="00F948F3">
        <w:rPr>
          <w:rFonts w:ascii="Helvetica Neue" w:eastAsia="Times New Roman" w:hAnsi="Helvetica Neue" w:cs="Times New Roman"/>
          <w:i/>
          <w:iCs/>
          <w:color w:val="000000"/>
        </w:rPr>
        <w:t>extrapolation of</w:t>
      </w:r>
      <w:r w:rsidRPr="00F948F3">
        <w:rPr>
          <w:rFonts w:ascii="Helvetica Neue" w:eastAsia="Times New Roman" w:hAnsi="Helvetica Neue" w:cs="Times New Roman"/>
          <w:color w:val="000000"/>
        </w:rPr>
        <w:t> </w:t>
      </w:r>
      <w:r w:rsidRPr="00F948F3">
        <w:rPr>
          <w:rFonts w:ascii="Helvetica Neue" w:eastAsia="Times New Roman" w:hAnsi="Helvetica Neue" w:cs="Times New Roman"/>
          <w:i/>
          <w:iCs/>
          <w:color w:val="000000"/>
        </w:rPr>
        <w:t>current dynamics</w:t>
      </w:r>
      <w:r w:rsidRPr="00F948F3">
        <w:rPr>
          <w:rFonts w:ascii="Helvetica Neue" w:eastAsia="Times New Roman" w:hAnsi="Helvetica Neue" w:cs="Times New Roman"/>
          <w:color w:val="000000"/>
        </w:rPr>
        <w:t>—the (single) ‘projected’ future, the only class in the whole schema containing only a single future, although different people will ‘project’ different futures, so it is really a single-member class containing many ‘single’ futures, as it were. The similarly single-member class of ‘predicted’ future, which had a similar underlying rationale—namely, what ‘will’ happen depends a lot on whom you ask—is very rarely used, except to make a specific point.</w:t>
      </w:r>
    </w:p>
    <w:p w14:paraId="7509E98E"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The class of </w:t>
      </w:r>
      <w:r w:rsidRPr="00F948F3">
        <w:rPr>
          <w:rFonts w:ascii="Helvetica Neue" w:eastAsia="Times New Roman" w:hAnsi="Helvetica Neue" w:cs="Times New Roman"/>
          <w:i/>
          <w:iCs/>
          <w:color w:val="000000"/>
        </w:rPr>
        <w:t>preferred</w:t>
      </w:r>
      <w:r w:rsidRPr="00F948F3">
        <w:rPr>
          <w:rFonts w:ascii="Helvetica Neue" w:eastAsia="Times New Roman" w:hAnsi="Helvetica Neue" w:cs="Times New Roman"/>
          <w:color w:val="000000"/>
        </w:rPr>
        <w:t> futures—what ‘should’ or ‘ought to’ happen—can take in any or all of the classes from preposterous to projected, because these futures must be at least imaginable (so inside the cone), and because people’s idea of what they prefer—and how they judge others’ preferences—can range from the default projected future thought to be coming all the way outward to (what is considered) outlandish preposterous-ness.</w:t>
      </w:r>
    </w:p>
    <w:p w14:paraId="1851D2CA"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To this set, one may also add </w:t>
      </w:r>
      <w:r w:rsidRPr="00F948F3">
        <w:rPr>
          <w:rFonts w:ascii="Helvetica Neue" w:eastAsia="Times New Roman" w:hAnsi="Helvetica Neue" w:cs="Times New Roman"/>
          <w:b/>
          <w:bCs/>
          <w:color w:val="000000"/>
        </w:rPr>
        <w:t>Wildcards—</w:t>
      </w:r>
      <w:r w:rsidRPr="00F948F3">
        <w:rPr>
          <w:rFonts w:ascii="Helvetica Neue" w:eastAsia="Times New Roman" w:hAnsi="Helvetica Neue" w:cs="Times New Roman"/>
          <w:color w:val="000000"/>
        </w:rPr>
        <w:t>by definition low probability </w:t>
      </w:r>
      <w:r w:rsidRPr="00F948F3">
        <w:rPr>
          <w:rFonts w:ascii="Helvetica Neue" w:eastAsia="Times New Roman" w:hAnsi="Helvetica Neue" w:cs="Times New Roman"/>
          <w:i/>
          <w:iCs/>
          <w:color w:val="000000"/>
        </w:rPr>
        <w:t>events</w:t>
      </w:r>
      <w:r w:rsidRPr="00F948F3">
        <w:rPr>
          <w:rFonts w:ascii="Helvetica Neue" w:eastAsia="Times New Roman" w:hAnsi="Helvetica Neue" w:cs="Times New Roman"/>
          <w:color w:val="000000"/>
        </w:rPr>
        <w:t> (sometimes referred to as ‘mini-scenarios’) that would have very large impact if they occurred (Petersen 1997, 1999). Since they are considered ‘low probability’ (i.e., outside the Probable zone), any member of any class of future outside the range of </w:t>
      </w:r>
      <w:r w:rsidRPr="00F948F3">
        <w:rPr>
          <w:rFonts w:ascii="Helvetica Neue" w:eastAsia="Times New Roman" w:hAnsi="Helvetica Neue" w:cs="Times New Roman"/>
          <w:i/>
          <w:iCs/>
          <w:color w:val="000000"/>
        </w:rPr>
        <w:t>probable</w:t>
      </w:r>
      <w:r w:rsidRPr="00F948F3">
        <w:rPr>
          <w:rFonts w:ascii="Helvetica Neue" w:eastAsia="Times New Roman" w:hAnsi="Helvetica Neue" w:cs="Times New Roman"/>
          <w:color w:val="000000"/>
        </w:rPr>
        <w:t xml:space="preserve"> futures could be considered by definition a wildcard (although this usage is not common, as the focus tends to be on ‘high impact’ events). Thus, in this view, some wildcards are considered plausible, some possible, some preposterous, and—the scariest of all—some we have not even imagined or dreamed of yet (i.e., </w:t>
      </w:r>
      <w:proofErr w:type="gramStart"/>
      <w:r w:rsidRPr="00F948F3">
        <w:rPr>
          <w:rFonts w:ascii="Helvetica Neue" w:eastAsia="Times New Roman" w:hAnsi="Helvetica Neue" w:cs="Times New Roman"/>
          <w:color w:val="000000"/>
        </w:rPr>
        <w:t>potential)…</w:t>
      </w:r>
      <w:proofErr w:type="gramEnd"/>
      <w:r w:rsidRPr="00F948F3">
        <w:rPr>
          <w:rFonts w:ascii="Helvetica Neue" w:eastAsia="Times New Roman" w:hAnsi="Helvetica Neue" w:cs="Times New Roman"/>
          <w:color w:val="000000"/>
        </w:rPr>
        <w:t xml:space="preserve"> These last are not even classifiable as ‘black swans’ (</w:t>
      </w:r>
      <w:proofErr w:type="spellStart"/>
      <w:r w:rsidRPr="00F948F3">
        <w:rPr>
          <w:rFonts w:ascii="Helvetica Neue" w:eastAsia="Times New Roman" w:hAnsi="Helvetica Neue" w:cs="Times New Roman"/>
          <w:color w:val="000000"/>
        </w:rPr>
        <w:t>Taleb</w:t>
      </w:r>
      <w:proofErr w:type="spellEnd"/>
      <w:r w:rsidRPr="00F948F3">
        <w:rPr>
          <w:rFonts w:ascii="Helvetica Neue" w:eastAsia="Times New Roman" w:hAnsi="Helvetica Neue" w:cs="Times New Roman"/>
          <w:color w:val="000000"/>
        </w:rPr>
        <w:t xml:space="preserve"> 2007), but rather as, perhaps, ‘scarlet </w:t>
      </w:r>
      <w:proofErr w:type="spellStart"/>
      <w:r w:rsidRPr="00F948F3">
        <w:rPr>
          <w:rFonts w:ascii="Helvetica Neue" w:eastAsia="Times New Roman" w:hAnsi="Helvetica Neue" w:cs="Times New Roman"/>
          <w:color w:val="000000"/>
        </w:rPr>
        <w:t>splofflings</w:t>
      </w:r>
      <w:proofErr w:type="spellEnd"/>
      <w:r w:rsidRPr="00F948F3">
        <w:rPr>
          <w:rFonts w:ascii="Helvetica Neue" w:eastAsia="Times New Roman" w:hAnsi="Helvetica Neue" w:cs="Times New Roman"/>
          <w:color w:val="000000"/>
        </w:rPr>
        <w:t>’ (Q: ‘what the hell are they?!’ A: ‘exactly!’).</w:t>
      </w:r>
    </w:p>
    <w:p w14:paraId="16105FEF"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This taxonomy finds its greatest utility when undertaking the Prospection phase of the Generic Foresight Process (</w:t>
      </w:r>
      <w:proofErr w:type="spellStart"/>
      <w:r w:rsidRPr="00F948F3">
        <w:rPr>
          <w:rFonts w:ascii="Helvetica Neue" w:eastAsia="Times New Roman" w:hAnsi="Helvetica Neue" w:cs="Times New Roman"/>
          <w:color w:val="000000"/>
        </w:rPr>
        <w:t>Voros</w:t>
      </w:r>
      <w:proofErr w:type="spellEnd"/>
      <w:r w:rsidRPr="00F948F3">
        <w:rPr>
          <w:rFonts w:ascii="Helvetica Neue" w:eastAsia="Times New Roman" w:hAnsi="Helvetica Neue" w:cs="Times New Roman"/>
          <w:color w:val="000000"/>
        </w:rPr>
        <w:t xml:space="preserve"> 2003) especially when the taxonomy is presented in reverse order from Projected to Preposterous. Here, one frames the extent to which the thinking is ‘opened out’ (implied by a reverse-order presentation of the taxonomy) by choosing a question form that is appropriate to the degree of openness required for the futures exploration. Thus, “what preposterously ‘impossible’ things </w:t>
      </w:r>
      <w:proofErr w:type="spellStart"/>
      <w:r w:rsidRPr="00F948F3">
        <w:rPr>
          <w:rFonts w:ascii="Helvetica Neue" w:eastAsia="Times New Roman" w:hAnsi="Helvetica Neue" w:cs="Times New Roman"/>
          <w:i/>
          <w:iCs/>
          <w:color w:val="000000"/>
        </w:rPr>
        <w:t>might</w:t>
      </w:r>
      <w:r w:rsidRPr="00F948F3">
        <w:rPr>
          <w:rFonts w:ascii="Helvetica Neue" w:eastAsia="Times New Roman" w:hAnsi="Helvetica Neue" w:cs="Times New Roman"/>
          <w:color w:val="000000"/>
        </w:rPr>
        <w:t>happen</w:t>
      </w:r>
      <w:proofErr w:type="spellEnd"/>
      <w:r w:rsidRPr="00F948F3">
        <w:rPr>
          <w:rFonts w:ascii="Helvetica Neue" w:eastAsia="Times New Roman" w:hAnsi="Helvetica Neue" w:cs="Times New Roman"/>
          <w:color w:val="000000"/>
        </w:rPr>
        <w:t>?” sets a different tone for prospection than the somewhat tamer question “what is projected to occur in the next 12 months?”</w:t>
      </w:r>
    </w:p>
    <w:p w14:paraId="0D3D116B" w14:textId="77777777" w:rsidR="00F948F3" w:rsidRPr="00F948F3" w:rsidRDefault="00F948F3" w:rsidP="00F948F3">
      <w:pPr>
        <w:shd w:val="clear" w:color="auto" w:fill="FFFFFF"/>
        <w:spacing w:before="90" w:after="90"/>
        <w:outlineLvl w:val="1"/>
        <w:rPr>
          <w:rFonts w:ascii="Helvetica Neue" w:eastAsia="Times New Roman" w:hAnsi="Helvetica Neue" w:cs="Times New Roman"/>
          <w:color w:val="000000"/>
          <w:sz w:val="43"/>
          <w:szCs w:val="43"/>
        </w:rPr>
      </w:pPr>
      <w:r w:rsidRPr="00F948F3">
        <w:rPr>
          <w:rFonts w:ascii="Helvetica Neue" w:eastAsia="Times New Roman" w:hAnsi="Helvetica Neue" w:cs="Times New Roman"/>
          <w:color w:val="000000"/>
          <w:sz w:val="43"/>
          <w:szCs w:val="43"/>
        </w:rPr>
        <w:t>References</w:t>
      </w:r>
    </w:p>
    <w:p w14:paraId="7AD1F52F"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Amara, R 1974, ‘The futures field: Functions, forms, and critical issues’, </w:t>
      </w:r>
      <w:r w:rsidRPr="00F948F3">
        <w:rPr>
          <w:rFonts w:ascii="Helvetica Neue" w:eastAsia="Times New Roman" w:hAnsi="Helvetica Neue" w:cs="Times New Roman"/>
          <w:i/>
          <w:iCs/>
          <w:color w:val="000000"/>
        </w:rPr>
        <w:t>Futures</w:t>
      </w:r>
      <w:r w:rsidRPr="00F948F3">
        <w:rPr>
          <w:rFonts w:ascii="Helvetica Neue" w:eastAsia="Times New Roman" w:hAnsi="Helvetica Neue" w:cs="Times New Roman"/>
          <w:color w:val="000000"/>
        </w:rPr>
        <w:t>, vol. 6, no. 4, pp. 289-301. doi:10.1016/0016-3287(74)90072-X</w:t>
      </w:r>
    </w:p>
    <w:p w14:paraId="63B7F892"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lastRenderedPageBreak/>
        <w:t>——— 1981, ‘The futures field: Searching for definitions and boundaries’, </w:t>
      </w:r>
      <w:r w:rsidRPr="00F948F3">
        <w:rPr>
          <w:rFonts w:ascii="Helvetica Neue" w:eastAsia="Times New Roman" w:hAnsi="Helvetica Neue" w:cs="Times New Roman"/>
          <w:i/>
          <w:iCs/>
          <w:color w:val="000000"/>
        </w:rPr>
        <w:t>The Futurist</w:t>
      </w:r>
      <w:r w:rsidRPr="00F948F3">
        <w:rPr>
          <w:rFonts w:ascii="Helvetica Neue" w:eastAsia="Times New Roman" w:hAnsi="Helvetica Neue" w:cs="Times New Roman"/>
          <w:color w:val="000000"/>
        </w:rPr>
        <w:t>, vol. 15, no. 1, pp. 25-29.</w:t>
      </w:r>
    </w:p>
    <w:p w14:paraId="23C7D37B"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 1991, ‘Views on futures research methodology’, </w:t>
      </w:r>
      <w:r w:rsidRPr="00F948F3">
        <w:rPr>
          <w:rFonts w:ascii="Helvetica Neue" w:eastAsia="Times New Roman" w:hAnsi="Helvetica Neue" w:cs="Times New Roman"/>
          <w:i/>
          <w:iCs/>
          <w:color w:val="000000"/>
        </w:rPr>
        <w:t>Futures</w:t>
      </w:r>
      <w:r w:rsidRPr="00F948F3">
        <w:rPr>
          <w:rFonts w:ascii="Helvetica Neue" w:eastAsia="Times New Roman" w:hAnsi="Helvetica Neue" w:cs="Times New Roman"/>
          <w:color w:val="000000"/>
        </w:rPr>
        <w:t>, vol. 23, no. 6, pp. 645-49. doi:10.1016/0016-3287(91)90085-G</w:t>
      </w:r>
    </w:p>
    <w:p w14:paraId="4408D260"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Bell, W 1997, </w:t>
      </w:r>
      <w:r w:rsidRPr="00F948F3">
        <w:rPr>
          <w:rFonts w:ascii="Helvetica Neue" w:eastAsia="Times New Roman" w:hAnsi="Helvetica Neue" w:cs="Times New Roman"/>
          <w:i/>
          <w:iCs/>
          <w:color w:val="000000"/>
        </w:rPr>
        <w:t>Foundations of futures studies</w:t>
      </w:r>
      <w:r w:rsidRPr="00F948F3">
        <w:rPr>
          <w:rFonts w:ascii="Helvetica Neue" w:eastAsia="Times New Roman" w:hAnsi="Helvetica Neue" w:cs="Times New Roman"/>
          <w:color w:val="000000"/>
        </w:rPr>
        <w:t>, 2 vols, Transaction Publishers, New Brunswick, NJ, USA.</w:t>
      </w:r>
    </w:p>
    <w:p w14:paraId="217B8BA9"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Clarke, AC 2000, </w:t>
      </w:r>
      <w:r w:rsidRPr="00F948F3">
        <w:rPr>
          <w:rFonts w:ascii="Helvetica Neue" w:eastAsia="Times New Roman" w:hAnsi="Helvetica Neue" w:cs="Times New Roman"/>
          <w:i/>
          <w:iCs/>
          <w:color w:val="000000"/>
        </w:rPr>
        <w:t>Profiles of the future: An inquiry into the limits of the possible</w:t>
      </w:r>
      <w:r w:rsidRPr="00F948F3">
        <w:rPr>
          <w:rFonts w:ascii="Helvetica Neue" w:eastAsia="Times New Roman" w:hAnsi="Helvetica Neue" w:cs="Times New Roman"/>
          <w:color w:val="000000"/>
        </w:rPr>
        <w:t xml:space="preserve">, Millennium </w:t>
      </w:r>
      <w:proofErr w:type="spellStart"/>
      <w:r w:rsidRPr="00F948F3">
        <w:rPr>
          <w:rFonts w:ascii="Helvetica Neue" w:eastAsia="Times New Roman" w:hAnsi="Helvetica Neue" w:cs="Times New Roman"/>
          <w:color w:val="000000"/>
        </w:rPr>
        <w:t>edn</w:t>
      </w:r>
      <w:proofErr w:type="spellEnd"/>
      <w:r w:rsidRPr="00F948F3">
        <w:rPr>
          <w:rFonts w:ascii="Helvetica Neue" w:eastAsia="Times New Roman" w:hAnsi="Helvetica Neue" w:cs="Times New Roman"/>
          <w:color w:val="000000"/>
        </w:rPr>
        <w:t>, Orion Books, London.</w:t>
      </w:r>
    </w:p>
    <w:p w14:paraId="1BA9A39F"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proofErr w:type="spellStart"/>
      <w:r w:rsidRPr="00F948F3">
        <w:rPr>
          <w:rFonts w:ascii="Helvetica Neue" w:eastAsia="Times New Roman" w:hAnsi="Helvetica Neue" w:cs="Times New Roman"/>
          <w:color w:val="000000"/>
        </w:rPr>
        <w:t>Dator</w:t>
      </w:r>
      <w:proofErr w:type="spellEnd"/>
      <w:r w:rsidRPr="00F948F3">
        <w:rPr>
          <w:rFonts w:ascii="Helvetica Neue" w:eastAsia="Times New Roman" w:hAnsi="Helvetica Neue" w:cs="Times New Roman"/>
          <w:color w:val="000000"/>
        </w:rPr>
        <w:t xml:space="preserve">, JA 2005, ‘Foreword’, in RA Slaughter, S </w:t>
      </w:r>
      <w:proofErr w:type="spellStart"/>
      <w:r w:rsidRPr="00F948F3">
        <w:rPr>
          <w:rFonts w:ascii="Helvetica Neue" w:eastAsia="Times New Roman" w:hAnsi="Helvetica Neue" w:cs="Times New Roman"/>
          <w:color w:val="000000"/>
        </w:rPr>
        <w:t>Inayatullah</w:t>
      </w:r>
      <w:proofErr w:type="spellEnd"/>
      <w:r w:rsidRPr="00F948F3">
        <w:rPr>
          <w:rFonts w:ascii="Helvetica Neue" w:eastAsia="Times New Roman" w:hAnsi="Helvetica Neue" w:cs="Times New Roman"/>
          <w:color w:val="000000"/>
        </w:rPr>
        <w:t xml:space="preserve"> &amp; JM Ramos (eds), </w:t>
      </w:r>
      <w:r w:rsidRPr="00F948F3">
        <w:rPr>
          <w:rFonts w:ascii="Helvetica Neue" w:eastAsia="Times New Roman" w:hAnsi="Helvetica Neue" w:cs="Times New Roman"/>
          <w:i/>
          <w:iCs/>
          <w:color w:val="000000"/>
        </w:rPr>
        <w:t>The knowledge base of futures studies</w:t>
      </w:r>
      <w:r w:rsidRPr="00F948F3">
        <w:rPr>
          <w:rFonts w:ascii="Helvetica Neue" w:eastAsia="Times New Roman" w:hAnsi="Helvetica Neue" w:cs="Times New Roman"/>
          <w:color w:val="000000"/>
        </w:rPr>
        <w:t xml:space="preserve">, Professional CD-ROM </w:t>
      </w:r>
      <w:proofErr w:type="spellStart"/>
      <w:r w:rsidRPr="00F948F3">
        <w:rPr>
          <w:rFonts w:ascii="Helvetica Neue" w:eastAsia="Times New Roman" w:hAnsi="Helvetica Neue" w:cs="Times New Roman"/>
          <w:color w:val="000000"/>
        </w:rPr>
        <w:t>edn</w:t>
      </w:r>
      <w:proofErr w:type="spellEnd"/>
      <w:r w:rsidRPr="00F948F3">
        <w:rPr>
          <w:rFonts w:ascii="Helvetica Neue" w:eastAsia="Times New Roman" w:hAnsi="Helvetica Neue" w:cs="Times New Roman"/>
          <w:color w:val="000000"/>
        </w:rPr>
        <w:t>, Foresight International, Brisbane, Australia.</w:t>
      </w:r>
    </w:p>
    <w:p w14:paraId="55F6BA57" w14:textId="77777777" w:rsidR="00F948F3" w:rsidRPr="00F948F3" w:rsidRDefault="00F948F3" w:rsidP="00F948F3">
      <w:pPr>
        <w:shd w:val="clear" w:color="auto" w:fill="FFFFFF"/>
        <w:rPr>
          <w:rFonts w:ascii="Helvetica Neue" w:eastAsia="Times New Roman" w:hAnsi="Helvetica Neue" w:cs="Times New Roman"/>
          <w:color w:val="000000"/>
        </w:rPr>
      </w:pPr>
      <w:hyperlink r:id="rId10" w:tgtFrame="_blank" w:history="1">
        <w:r w:rsidRPr="00F948F3">
          <w:rPr>
            <w:rFonts w:ascii="Helvetica Neue" w:eastAsia="Times New Roman" w:hAnsi="Helvetica Neue" w:cs="Times New Roman"/>
            <w:color w:val="0000FF"/>
            <w:u w:val="single"/>
          </w:rPr>
          <w:t>Hancock, T</w:t>
        </w:r>
        <w:r w:rsidRPr="00F948F3">
          <w:rPr>
            <w:rFonts w:ascii="Helvetica Neue" w:eastAsia="Times New Roman" w:hAnsi="Helvetica Neue" w:cs="Times New Roman"/>
            <w:color w:val="0000FF"/>
            <w:u w:val="single"/>
            <w:bdr w:val="none" w:sz="0" w:space="0" w:color="auto" w:frame="1"/>
          </w:rPr>
          <w:t> (Links to an external site.)</w:t>
        </w:r>
      </w:hyperlink>
      <w:r w:rsidRPr="00F948F3">
        <w:rPr>
          <w:rFonts w:ascii="Helvetica Neue" w:eastAsia="Times New Roman" w:hAnsi="Helvetica Neue" w:cs="Times New Roman"/>
          <w:color w:val="000000"/>
        </w:rPr>
        <w:t xml:space="preserve"> &amp; </w:t>
      </w:r>
      <w:proofErr w:type="spellStart"/>
      <w:r w:rsidRPr="00F948F3">
        <w:rPr>
          <w:rFonts w:ascii="Helvetica Neue" w:eastAsia="Times New Roman" w:hAnsi="Helvetica Neue" w:cs="Times New Roman"/>
          <w:color w:val="000000"/>
        </w:rPr>
        <w:t>Bezold</w:t>
      </w:r>
      <w:proofErr w:type="spellEnd"/>
      <w:r w:rsidRPr="00F948F3">
        <w:rPr>
          <w:rFonts w:ascii="Helvetica Neue" w:eastAsia="Times New Roman" w:hAnsi="Helvetica Neue" w:cs="Times New Roman"/>
          <w:color w:val="000000"/>
        </w:rPr>
        <w:t>, C 1994, ‘Possible futures, preferable futures’, </w:t>
      </w:r>
      <w:r w:rsidRPr="00F948F3">
        <w:rPr>
          <w:rFonts w:ascii="Helvetica Neue" w:eastAsia="Times New Roman" w:hAnsi="Helvetica Neue" w:cs="Times New Roman"/>
          <w:i/>
          <w:iCs/>
          <w:color w:val="000000"/>
        </w:rPr>
        <w:t>Healthcare Forum Journal</w:t>
      </w:r>
      <w:r w:rsidRPr="00F948F3">
        <w:rPr>
          <w:rFonts w:ascii="Helvetica Neue" w:eastAsia="Times New Roman" w:hAnsi="Helvetica Neue" w:cs="Times New Roman"/>
          <w:color w:val="000000"/>
        </w:rPr>
        <w:t>, vol. 37, no. 2, pp. 23-29.</w:t>
      </w:r>
    </w:p>
    <w:p w14:paraId="7557828E"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proofErr w:type="spellStart"/>
      <w:r w:rsidRPr="00F948F3">
        <w:rPr>
          <w:rFonts w:ascii="Helvetica Neue" w:eastAsia="Times New Roman" w:hAnsi="Helvetica Neue" w:cs="Times New Roman"/>
          <w:color w:val="000000"/>
        </w:rPr>
        <w:t>Henchey</w:t>
      </w:r>
      <w:proofErr w:type="spellEnd"/>
      <w:r w:rsidRPr="00F948F3">
        <w:rPr>
          <w:rFonts w:ascii="Helvetica Neue" w:eastAsia="Times New Roman" w:hAnsi="Helvetica Neue" w:cs="Times New Roman"/>
          <w:color w:val="000000"/>
        </w:rPr>
        <w:t>, N 1978, ‘Making sense of futures studies’, </w:t>
      </w:r>
      <w:r w:rsidRPr="00F948F3">
        <w:rPr>
          <w:rFonts w:ascii="Helvetica Neue" w:eastAsia="Times New Roman" w:hAnsi="Helvetica Neue" w:cs="Times New Roman"/>
          <w:i/>
          <w:iCs/>
          <w:color w:val="000000"/>
        </w:rPr>
        <w:t>Alternatives</w:t>
      </w:r>
      <w:r w:rsidRPr="00F948F3">
        <w:rPr>
          <w:rFonts w:ascii="Helvetica Neue" w:eastAsia="Times New Roman" w:hAnsi="Helvetica Neue" w:cs="Times New Roman"/>
          <w:color w:val="000000"/>
        </w:rPr>
        <w:t>, vol. 7, no. 2, pp. 24-28.</w:t>
      </w:r>
    </w:p>
    <w:p w14:paraId="39387174"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Petersen, JL 1997, ‘The wild cards in our future: Preparing for the improbable’, </w:t>
      </w:r>
      <w:r w:rsidRPr="00F948F3">
        <w:rPr>
          <w:rFonts w:ascii="Helvetica Neue" w:eastAsia="Times New Roman" w:hAnsi="Helvetica Neue" w:cs="Times New Roman"/>
          <w:i/>
          <w:iCs/>
          <w:color w:val="000000"/>
        </w:rPr>
        <w:t>The Futurist</w:t>
      </w:r>
      <w:r w:rsidRPr="00F948F3">
        <w:rPr>
          <w:rFonts w:ascii="Helvetica Neue" w:eastAsia="Times New Roman" w:hAnsi="Helvetica Neue" w:cs="Times New Roman"/>
          <w:color w:val="000000"/>
        </w:rPr>
        <w:t>, vol. 31, no. 4, pp. 43-47.</w:t>
      </w:r>
    </w:p>
    <w:p w14:paraId="45655053"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 1999, </w:t>
      </w:r>
      <w:r w:rsidRPr="00F948F3">
        <w:rPr>
          <w:rFonts w:ascii="Helvetica Neue" w:eastAsia="Times New Roman" w:hAnsi="Helvetica Neue" w:cs="Times New Roman"/>
          <w:i/>
          <w:iCs/>
          <w:color w:val="000000"/>
        </w:rPr>
        <w:t>Out of the blue: How to anticipate big future surprises</w:t>
      </w:r>
      <w:r w:rsidRPr="00F948F3">
        <w:rPr>
          <w:rFonts w:ascii="Helvetica Neue" w:eastAsia="Times New Roman" w:hAnsi="Helvetica Neue" w:cs="Times New Roman"/>
          <w:color w:val="000000"/>
        </w:rPr>
        <w:t xml:space="preserve">, 2nd </w:t>
      </w:r>
      <w:proofErr w:type="spellStart"/>
      <w:r w:rsidRPr="00F948F3">
        <w:rPr>
          <w:rFonts w:ascii="Helvetica Neue" w:eastAsia="Times New Roman" w:hAnsi="Helvetica Neue" w:cs="Times New Roman"/>
          <w:color w:val="000000"/>
        </w:rPr>
        <w:t>edn</w:t>
      </w:r>
      <w:proofErr w:type="spellEnd"/>
      <w:r w:rsidRPr="00F948F3">
        <w:rPr>
          <w:rFonts w:ascii="Helvetica Neue" w:eastAsia="Times New Roman" w:hAnsi="Helvetica Neue" w:cs="Times New Roman"/>
          <w:color w:val="000000"/>
        </w:rPr>
        <w:t>, Madison Books, Lanham, MA, USA.</w:t>
      </w:r>
    </w:p>
    <w:p w14:paraId="5AC74A2E"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proofErr w:type="spellStart"/>
      <w:r w:rsidRPr="00F948F3">
        <w:rPr>
          <w:rFonts w:ascii="Helvetica Neue" w:eastAsia="Times New Roman" w:hAnsi="Helvetica Neue" w:cs="Times New Roman"/>
          <w:color w:val="000000"/>
        </w:rPr>
        <w:t>Taleb</w:t>
      </w:r>
      <w:proofErr w:type="spellEnd"/>
      <w:r w:rsidRPr="00F948F3">
        <w:rPr>
          <w:rFonts w:ascii="Helvetica Neue" w:eastAsia="Times New Roman" w:hAnsi="Helvetica Neue" w:cs="Times New Roman"/>
          <w:color w:val="000000"/>
        </w:rPr>
        <w:t>, NN 2007, </w:t>
      </w:r>
      <w:r w:rsidRPr="00F948F3">
        <w:rPr>
          <w:rFonts w:ascii="Helvetica Neue" w:eastAsia="Times New Roman" w:hAnsi="Helvetica Neue" w:cs="Times New Roman"/>
          <w:i/>
          <w:iCs/>
          <w:color w:val="000000"/>
        </w:rPr>
        <w:t>The black swan: The impact of the highly improbable</w:t>
      </w:r>
      <w:r w:rsidRPr="00F948F3">
        <w:rPr>
          <w:rFonts w:ascii="Helvetica Neue" w:eastAsia="Times New Roman" w:hAnsi="Helvetica Neue" w:cs="Times New Roman"/>
          <w:color w:val="000000"/>
        </w:rPr>
        <w:t>, Random House, New York.</w:t>
      </w:r>
    </w:p>
    <w:p w14:paraId="2A75B23C"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r w:rsidRPr="00F948F3">
        <w:rPr>
          <w:rFonts w:ascii="Helvetica Neue" w:eastAsia="Times New Roman" w:hAnsi="Helvetica Neue" w:cs="Times New Roman"/>
          <w:color w:val="000000"/>
        </w:rPr>
        <w:t>Taylor, CW 1990, </w:t>
      </w:r>
      <w:r w:rsidRPr="00F948F3">
        <w:rPr>
          <w:rFonts w:ascii="Helvetica Neue" w:eastAsia="Times New Roman" w:hAnsi="Helvetica Neue" w:cs="Times New Roman"/>
          <w:i/>
          <w:iCs/>
          <w:color w:val="000000"/>
        </w:rPr>
        <w:t>Creating strategic visions, </w:t>
      </w:r>
      <w:r w:rsidRPr="00F948F3">
        <w:rPr>
          <w:rFonts w:ascii="Helvetica Neue" w:eastAsia="Times New Roman" w:hAnsi="Helvetica Neue" w:cs="Times New Roman"/>
          <w:color w:val="000000"/>
        </w:rPr>
        <w:t>Strategic Studies Institute, US Army War College, Carlisle Barracks, Carlisle, Pennsylvania, USA.</w:t>
      </w:r>
    </w:p>
    <w:p w14:paraId="00437461" w14:textId="77777777" w:rsidR="00F948F3" w:rsidRPr="00F948F3" w:rsidRDefault="00F948F3" w:rsidP="00F948F3">
      <w:pPr>
        <w:shd w:val="clear" w:color="auto" w:fill="FFFFFF"/>
        <w:spacing w:before="180" w:after="180"/>
        <w:rPr>
          <w:rFonts w:ascii="Helvetica Neue" w:eastAsia="Times New Roman" w:hAnsi="Helvetica Neue" w:cs="Times New Roman"/>
          <w:color w:val="000000"/>
        </w:rPr>
      </w:pPr>
      <w:proofErr w:type="spellStart"/>
      <w:r w:rsidRPr="00F948F3">
        <w:rPr>
          <w:rFonts w:ascii="Helvetica Neue" w:eastAsia="Times New Roman" w:hAnsi="Helvetica Neue" w:cs="Times New Roman"/>
          <w:color w:val="000000"/>
        </w:rPr>
        <w:t>Voros</w:t>
      </w:r>
      <w:proofErr w:type="spellEnd"/>
      <w:r w:rsidRPr="00F948F3">
        <w:rPr>
          <w:rFonts w:ascii="Helvetica Neue" w:eastAsia="Times New Roman" w:hAnsi="Helvetica Neue" w:cs="Times New Roman"/>
          <w:color w:val="000000"/>
        </w:rPr>
        <w:t xml:space="preserve"> J 2003, ‘A generic foresight process framework’, </w:t>
      </w:r>
      <w:r w:rsidRPr="00F948F3">
        <w:rPr>
          <w:rFonts w:ascii="Helvetica Neue" w:eastAsia="Times New Roman" w:hAnsi="Helvetica Neue" w:cs="Times New Roman"/>
          <w:i/>
          <w:iCs/>
          <w:color w:val="000000"/>
        </w:rPr>
        <w:t>Foresight</w:t>
      </w:r>
      <w:r w:rsidRPr="00F948F3">
        <w:rPr>
          <w:rFonts w:ascii="Helvetica Neue" w:eastAsia="Times New Roman" w:hAnsi="Helvetica Neue" w:cs="Times New Roman"/>
          <w:color w:val="000000"/>
        </w:rPr>
        <w:t>, vol. 5, no. 3, pp. 10-21. doi:10.1108/14636680310698379</w:t>
      </w:r>
    </w:p>
    <w:p w14:paraId="5DE96E6A" w14:textId="77777777" w:rsidR="00BE2A52" w:rsidRDefault="00BE2A52">
      <w:bookmarkStart w:id="0" w:name="_GoBack"/>
      <w:bookmarkEnd w:id="0"/>
    </w:p>
    <w:sectPr w:rsidR="00BE2A52"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34807"/>
    <w:multiLevelType w:val="multilevel"/>
    <w:tmpl w:val="CA64E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8F3"/>
    <w:rsid w:val="005A7854"/>
    <w:rsid w:val="00B37FF5"/>
    <w:rsid w:val="00BE2A52"/>
    <w:rsid w:val="00F94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A77EF"/>
  <w15:chartTrackingRefBased/>
  <w15:docId w15:val="{DD6DA61C-0BC2-F84D-B9E9-4DE0C3806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F948F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948F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8F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948F3"/>
    <w:rPr>
      <w:rFonts w:ascii="Times New Roman" w:eastAsia="Times New Roman" w:hAnsi="Times New Roman" w:cs="Times New Roman"/>
      <w:b/>
      <w:bCs/>
      <w:sz w:val="36"/>
      <w:szCs w:val="36"/>
    </w:rPr>
  </w:style>
  <w:style w:type="paragraph" w:customStyle="1" w:styleId="entry-title">
    <w:name w:val="entry-title"/>
    <w:basedOn w:val="Normal"/>
    <w:rsid w:val="00F948F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F948F3"/>
    <w:rPr>
      <w:color w:val="0000FF"/>
      <w:u w:val="single"/>
    </w:rPr>
  </w:style>
  <w:style w:type="character" w:customStyle="1" w:styleId="screenreader-only">
    <w:name w:val="screenreader-only"/>
    <w:basedOn w:val="DefaultParagraphFont"/>
    <w:rsid w:val="00F948F3"/>
  </w:style>
  <w:style w:type="paragraph" w:styleId="NormalWeb">
    <w:name w:val="Normal (Web)"/>
    <w:basedOn w:val="Normal"/>
    <w:uiPriority w:val="99"/>
    <w:semiHidden/>
    <w:unhideWhenUsed/>
    <w:rsid w:val="00F948F3"/>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F948F3"/>
    <w:rPr>
      <w:i/>
      <w:iCs/>
    </w:rPr>
  </w:style>
  <w:style w:type="character" w:styleId="Strong">
    <w:name w:val="Strong"/>
    <w:basedOn w:val="DefaultParagraphFont"/>
    <w:uiPriority w:val="22"/>
    <w:qFormat/>
    <w:rsid w:val="00F948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9546234">
      <w:bodyDiv w:val="1"/>
      <w:marLeft w:val="0"/>
      <w:marRight w:val="0"/>
      <w:marTop w:val="0"/>
      <w:marBottom w:val="0"/>
      <w:divBdr>
        <w:top w:val="none" w:sz="0" w:space="0" w:color="auto"/>
        <w:left w:val="none" w:sz="0" w:space="0" w:color="auto"/>
        <w:bottom w:val="none" w:sz="0" w:space="0" w:color="auto"/>
        <w:right w:val="none" w:sz="0" w:space="0" w:color="auto"/>
      </w:divBdr>
      <w:divsChild>
        <w:div w:id="6070039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evorhancockdotorg.wordpress.com/" TargetMode="External"/><Relationship Id="rId3" Type="http://schemas.openxmlformats.org/officeDocument/2006/relationships/settings" Target="settings.xml"/><Relationship Id="rId7" Type="http://schemas.openxmlformats.org/officeDocument/2006/relationships/hyperlink" Target="https://doi.org/10.1007/978-3-319-31737-3_95-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voroscope.com/2015/12/28/on-examining-preposterous-futures/" TargetMode="External"/><Relationship Id="rId11" Type="http://schemas.openxmlformats.org/officeDocument/2006/relationships/fontTable" Target="fontTable.xml"/><Relationship Id="rId5" Type="http://schemas.openxmlformats.org/officeDocument/2006/relationships/hyperlink" Target="https://thevoroscope.com/2017/02/24/the-futures-cone-use-and-history/" TargetMode="External"/><Relationship Id="rId10" Type="http://schemas.openxmlformats.org/officeDocument/2006/relationships/hyperlink" Target="http://trevorhancockdotorg.wordpress.com/"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1832</Words>
  <Characters>10446</Characters>
  <Application>Microsoft Office Word</Application>
  <DocSecurity>0</DocSecurity>
  <Lines>87</Lines>
  <Paragraphs>24</Paragraphs>
  <ScaleCrop>false</ScaleCrop>
  <Company/>
  <LinksUpToDate>false</LinksUpToDate>
  <CharactersWithSpaces>12254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2019-10-02T20:39:00Z</dcterms:created>
  <dcterms:modified xsi:type="dcterms:W3CDTF">2019-10-02T20:41:00Z</dcterms:modified>
</cp:coreProperties>
</file>